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5" w:type="dxa"/>
        <w:tblInd w:w="108" w:type="dxa"/>
        <w:tblLayout w:type="fixed"/>
        <w:tblLook w:val="04A0" w:firstRow="1" w:lastRow="0" w:firstColumn="1" w:lastColumn="0" w:noHBand="0" w:noVBand="1"/>
      </w:tblPr>
      <w:tblGrid>
        <w:gridCol w:w="142"/>
        <w:gridCol w:w="709"/>
        <w:gridCol w:w="1451"/>
        <w:gridCol w:w="267"/>
        <w:gridCol w:w="6395"/>
        <w:gridCol w:w="11"/>
      </w:tblGrid>
      <w:tr w:rsidR="00C92729" w:rsidRPr="00575235" w14:paraId="0B6AE95B" w14:textId="77777777" w:rsidTr="0041652A">
        <w:tc>
          <w:tcPr>
            <w:tcW w:w="2569" w:type="dxa"/>
            <w:gridSpan w:val="4"/>
            <w:shd w:val="clear" w:color="auto" w:fill="auto"/>
          </w:tcPr>
          <w:p w14:paraId="16A6B630" w14:textId="77777777" w:rsidR="00F445B1" w:rsidRPr="00575235" w:rsidRDefault="00F445B1" w:rsidP="00203C5C">
            <w:pPr>
              <w:tabs>
                <w:tab w:val="left" w:pos="8647"/>
              </w:tabs>
              <w:ind w:right="1076"/>
              <w:rPr>
                <w:rStyle w:val="Firstpagetablebold"/>
                <w:rFonts w:cs="Arial"/>
                <w:color w:val="auto"/>
              </w:rPr>
            </w:pPr>
            <w:r w:rsidRPr="00575235">
              <w:rPr>
                <w:rStyle w:val="Firstpagetablebold"/>
                <w:rFonts w:cs="Arial"/>
                <w:color w:val="auto"/>
              </w:rPr>
              <w:t>To</w:t>
            </w:r>
            <w:r w:rsidR="005C35A5" w:rsidRPr="00575235">
              <w:rPr>
                <w:rStyle w:val="Firstpagetablebold"/>
                <w:rFonts w:cs="Arial"/>
                <w:color w:val="auto"/>
              </w:rPr>
              <w:t>:</w:t>
            </w:r>
          </w:p>
        </w:tc>
        <w:tc>
          <w:tcPr>
            <w:tcW w:w="6406" w:type="dxa"/>
            <w:gridSpan w:val="2"/>
            <w:shd w:val="clear" w:color="auto" w:fill="auto"/>
          </w:tcPr>
          <w:p w14:paraId="14A7FB93" w14:textId="77777777" w:rsidR="00F445B1" w:rsidRPr="00575235" w:rsidRDefault="00C92729" w:rsidP="00203C5C">
            <w:pPr>
              <w:tabs>
                <w:tab w:val="left" w:pos="8647"/>
              </w:tabs>
              <w:ind w:right="1076"/>
              <w:rPr>
                <w:rStyle w:val="Firstpagetablebold"/>
                <w:rFonts w:cs="Arial"/>
                <w:color w:val="auto"/>
              </w:rPr>
            </w:pPr>
            <w:r w:rsidRPr="00575235">
              <w:rPr>
                <w:rStyle w:val="Firstpagetablebold"/>
                <w:rFonts w:cs="Arial"/>
                <w:color w:val="auto"/>
              </w:rPr>
              <w:t>Oxford City Housing Ltd</w:t>
            </w:r>
            <w:r w:rsidR="004711FC" w:rsidRPr="00575235">
              <w:rPr>
                <w:rStyle w:val="Firstpagetablebold"/>
                <w:rFonts w:cs="Arial"/>
                <w:color w:val="auto"/>
              </w:rPr>
              <w:t xml:space="preserve"> Shareholder </w:t>
            </w:r>
            <w:r w:rsidR="00475860" w:rsidRPr="00575235">
              <w:rPr>
                <w:rStyle w:val="Firstpagetablebold"/>
                <w:rFonts w:cs="Arial"/>
                <w:color w:val="auto"/>
              </w:rPr>
              <w:t>Meeting</w:t>
            </w:r>
          </w:p>
        </w:tc>
      </w:tr>
      <w:tr w:rsidR="00C92729" w:rsidRPr="00575235" w14:paraId="4F586393" w14:textId="77777777" w:rsidTr="0041652A">
        <w:tc>
          <w:tcPr>
            <w:tcW w:w="2569" w:type="dxa"/>
            <w:gridSpan w:val="4"/>
            <w:shd w:val="clear" w:color="auto" w:fill="auto"/>
          </w:tcPr>
          <w:p w14:paraId="1F870F51" w14:textId="77777777" w:rsidR="00F445B1" w:rsidRPr="00575235" w:rsidRDefault="00F445B1" w:rsidP="00203C5C">
            <w:pPr>
              <w:tabs>
                <w:tab w:val="left" w:pos="8647"/>
              </w:tabs>
              <w:ind w:right="1076"/>
              <w:rPr>
                <w:rStyle w:val="Firstpagetablebold"/>
                <w:rFonts w:cs="Arial"/>
                <w:color w:val="auto"/>
              </w:rPr>
            </w:pPr>
            <w:r w:rsidRPr="00575235">
              <w:rPr>
                <w:rStyle w:val="Firstpagetablebold"/>
                <w:rFonts w:cs="Arial"/>
                <w:color w:val="auto"/>
              </w:rPr>
              <w:t>Dat</w:t>
            </w:r>
            <w:r w:rsidR="005C35A5" w:rsidRPr="00575235">
              <w:rPr>
                <w:rStyle w:val="Firstpagetablebold"/>
                <w:rFonts w:cs="Arial"/>
                <w:color w:val="auto"/>
              </w:rPr>
              <w:t>e:</w:t>
            </w:r>
          </w:p>
        </w:tc>
        <w:tc>
          <w:tcPr>
            <w:tcW w:w="6406" w:type="dxa"/>
            <w:gridSpan w:val="2"/>
            <w:shd w:val="clear" w:color="auto" w:fill="auto"/>
          </w:tcPr>
          <w:p w14:paraId="1B63664D" w14:textId="75AE7433" w:rsidR="00F445B1" w:rsidRPr="00575235" w:rsidRDefault="003058CB" w:rsidP="0041652A">
            <w:pPr>
              <w:tabs>
                <w:tab w:val="left" w:pos="8647"/>
              </w:tabs>
              <w:ind w:right="1076"/>
              <w:rPr>
                <w:rFonts w:cs="Arial"/>
                <w:b/>
                <w:color w:val="auto"/>
              </w:rPr>
            </w:pPr>
            <w:r>
              <w:rPr>
                <w:rFonts w:cs="Arial"/>
                <w:b/>
                <w:color w:val="auto"/>
              </w:rPr>
              <w:t>17 March 2020</w:t>
            </w:r>
          </w:p>
        </w:tc>
      </w:tr>
      <w:tr w:rsidR="00C92729" w:rsidRPr="00575235" w14:paraId="179E6E24" w14:textId="77777777" w:rsidTr="0041652A">
        <w:tc>
          <w:tcPr>
            <w:tcW w:w="2569" w:type="dxa"/>
            <w:gridSpan w:val="4"/>
            <w:shd w:val="clear" w:color="auto" w:fill="auto"/>
          </w:tcPr>
          <w:p w14:paraId="0CF0E2CF" w14:textId="77777777" w:rsidR="00F445B1" w:rsidRPr="00575235" w:rsidRDefault="00F445B1" w:rsidP="00203C5C">
            <w:pPr>
              <w:tabs>
                <w:tab w:val="left" w:pos="8647"/>
              </w:tabs>
              <w:ind w:right="1076"/>
              <w:rPr>
                <w:rStyle w:val="Firstpagetablebold"/>
                <w:rFonts w:cs="Arial"/>
                <w:color w:val="auto"/>
              </w:rPr>
            </w:pPr>
            <w:r w:rsidRPr="00575235">
              <w:rPr>
                <w:rStyle w:val="Firstpagetablebold"/>
                <w:rFonts w:cs="Arial"/>
                <w:color w:val="auto"/>
              </w:rPr>
              <w:t>Report of</w:t>
            </w:r>
            <w:r w:rsidR="005C35A5" w:rsidRPr="00575235">
              <w:rPr>
                <w:rStyle w:val="Firstpagetablebold"/>
                <w:rFonts w:cs="Arial"/>
                <w:color w:val="auto"/>
              </w:rPr>
              <w:t>:</w:t>
            </w:r>
          </w:p>
        </w:tc>
        <w:tc>
          <w:tcPr>
            <w:tcW w:w="6406" w:type="dxa"/>
            <w:gridSpan w:val="2"/>
            <w:shd w:val="clear" w:color="auto" w:fill="auto"/>
          </w:tcPr>
          <w:p w14:paraId="1039E1F7" w14:textId="77777777" w:rsidR="00F445B1" w:rsidRPr="00575235" w:rsidRDefault="006D052F" w:rsidP="00203C5C">
            <w:pPr>
              <w:tabs>
                <w:tab w:val="left" w:pos="8647"/>
              </w:tabs>
              <w:ind w:right="1076"/>
              <w:rPr>
                <w:rStyle w:val="Firstpagetablebold"/>
                <w:rFonts w:cs="Arial"/>
                <w:color w:val="auto"/>
              </w:rPr>
            </w:pPr>
            <w:r w:rsidRPr="00575235">
              <w:rPr>
                <w:rStyle w:val="Firstpagetablebold"/>
                <w:rFonts w:cs="Arial"/>
                <w:color w:val="auto"/>
              </w:rPr>
              <w:t>Jane Winfield</w:t>
            </w:r>
            <w:r w:rsidR="000947DC">
              <w:rPr>
                <w:rStyle w:val="Firstpagetablebold"/>
                <w:rFonts w:cs="Arial"/>
                <w:color w:val="auto"/>
              </w:rPr>
              <w:t>, Regeneration and Major Projects Service M</w:t>
            </w:r>
            <w:r w:rsidR="00C0652D" w:rsidRPr="00575235">
              <w:rPr>
                <w:rStyle w:val="Firstpagetablebold"/>
                <w:rFonts w:cs="Arial"/>
                <w:color w:val="auto"/>
              </w:rPr>
              <w:t xml:space="preserve">anager </w:t>
            </w:r>
          </w:p>
        </w:tc>
      </w:tr>
      <w:tr w:rsidR="00C92729" w:rsidRPr="00575235" w14:paraId="29AE5C15" w14:textId="77777777" w:rsidTr="0041652A">
        <w:tc>
          <w:tcPr>
            <w:tcW w:w="2569" w:type="dxa"/>
            <w:gridSpan w:val="4"/>
            <w:shd w:val="clear" w:color="auto" w:fill="auto"/>
          </w:tcPr>
          <w:p w14:paraId="33F41167" w14:textId="77777777" w:rsidR="00F445B1" w:rsidRPr="00575235" w:rsidRDefault="00F445B1" w:rsidP="00203C5C">
            <w:pPr>
              <w:tabs>
                <w:tab w:val="left" w:pos="8647"/>
              </w:tabs>
              <w:ind w:right="1076"/>
              <w:rPr>
                <w:rStyle w:val="Firstpagetablebold"/>
                <w:rFonts w:cs="Arial"/>
                <w:color w:val="auto"/>
              </w:rPr>
            </w:pPr>
            <w:r w:rsidRPr="00575235">
              <w:rPr>
                <w:rStyle w:val="Firstpagetablebold"/>
                <w:rFonts w:cs="Arial"/>
                <w:color w:val="auto"/>
              </w:rPr>
              <w:t xml:space="preserve">Title of Report: </w:t>
            </w:r>
          </w:p>
        </w:tc>
        <w:tc>
          <w:tcPr>
            <w:tcW w:w="6406" w:type="dxa"/>
            <w:gridSpan w:val="2"/>
            <w:shd w:val="clear" w:color="auto" w:fill="auto"/>
          </w:tcPr>
          <w:p w14:paraId="354C6A58" w14:textId="77777777" w:rsidR="006D052F" w:rsidRPr="00575235" w:rsidRDefault="000947DC" w:rsidP="00203C5C">
            <w:pPr>
              <w:tabs>
                <w:tab w:val="left" w:pos="8647"/>
              </w:tabs>
              <w:spacing w:after="0"/>
              <w:ind w:right="1076"/>
              <w:rPr>
                <w:rStyle w:val="Firstpagetablebold"/>
                <w:rFonts w:cs="Arial"/>
                <w:color w:val="auto"/>
              </w:rPr>
            </w:pPr>
            <w:r>
              <w:rPr>
                <w:rStyle w:val="Firstpagetablebold"/>
                <w:rFonts w:cs="Arial"/>
                <w:color w:val="auto"/>
              </w:rPr>
              <w:t>Quarterly P</w:t>
            </w:r>
            <w:r w:rsidR="00C0652D" w:rsidRPr="00575235">
              <w:rPr>
                <w:rStyle w:val="Firstpagetablebold"/>
                <w:rFonts w:cs="Arial"/>
                <w:color w:val="auto"/>
              </w:rPr>
              <w:t xml:space="preserve">rogress </w:t>
            </w:r>
            <w:r>
              <w:rPr>
                <w:rStyle w:val="Firstpagetablebold"/>
                <w:rFonts w:cs="Arial"/>
                <w:color w:val="auto"/>
              </w:rPr>
              <w:t>R</w:t>
            </w:r>
            <w:r w:rsidR="00C0652D" w:rsidRPr="00575235">
              <w:rPr>
                <w:rStyle w:val="Firstpagetablebold"/>
                <w:rFonts w:cs="Arial"/>
                <w:color w:val="auto"/>
              </w:rPr>
              <w:t>eport rela</w:t>
            </w:r>
            <w:r>
              <w:rPr>
                <w:rStyle w:val="Firstpagetablebold"/>
                <w:rFonts w:cs="Arial"/>
                <w:color w:val="auto"/>
              </w:rPr>
              <w:t>ting to Barton Park D</w:t>
            </w:r>
            <w:r w:rsidR="006D052F" w:rsidRPr="00575235">
              <w:rPr>
                <w:rStyle w:val="Firstpagetablebold"/>
                <w:rFonts w:cs="Arial"/>
                <w:color w:val="auto"/>
              </w:rPr>
              <w:t>evelopment</w:t>
            </w:r>
          </w:p>
          <w:p w14:paraId="4F988836" w14:textId="77777777" w:rsidR="00737C85" w:rsidRPr="00575235" w:rsidRDefault="00C0652D" w:rsidP="00203C5C">
            <w:pPr>
              <w:tabs>
                <w:tab w:val="left" w:pos="8647"/>
              </w:tabs>
              <w:spacing w:after="0"/>
              <w:ind w:right="1076"/>
              <w:rPr>
                <w:rStyle w:val="Firstpagetablebold"/>
                <w:rFonts w:cs="Arial"/>
                <w:color w:val="auto"/>
              </w:rPr>
            </w:pPr>
            <w:r w:rsidRPr="00575235">
              <w:rPr>
                <w:rStyle w:val="Firstpagetablebold"/>
                <w:rFonts w:cs="Arial"/>
                <w:color w:val="auto"/>
              </w:rPr>
              <w:t xml:space="preserve"> </w:t>
            </w:r>
          </w:p>
        </w:tc>
      </w:tr>
      <w:tr w:rsidR="00D5547E" w:rsidRPr="00575235" w14:paraId="62AFA4E9" w14:textId="77777777" w:rsidTr="00F524C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42" w:type="dxa"/>
          <w:wAfter w:w="11" w:type="dxa"/>
          <w:trHeight w:val="445"/>
        </w:trPr>
        <w:tc>
          <w:tcPr>
            <w:tcW w:w="8822" w:type="dxa"/>
            <w:gridSpan w:val="4"/>
            <w:tcBorders>
              <w:bottom w:val="single" w:sz="8" w:space="0" w:color="000000"/>
            </w:tcBorders>
            <w:hideMark/>
          </w:tcPr>
          <w:p w14:paraId="210F4AA7" w14:textId="77777777" w:rsidR="00CC68B0" w:rsidRPr="00575235" w:rsidRDefault="00745BF0" w:rsidP="00203C5C">
            <w:pPr>
              <w:tabs>
                <w:tab w:val="left" w:pos="8647"/>
              </w:tabs>
              <w:ind w:left="601" w:right="1076"/>
              <w:jc w:val="center"/>
              <w:rPr>
                <w:rStyle w:val="Firstpagetablebold"/>
                <w:rFonts w:cs="Arial"/>
              </w:rPr>
            </w:pPr>
            <w:r w:rsidRPr="00575235">
              <w:rPr>
                <w:rStyle w:val="Firstpagetablebold"/>
                <w:rFonts w:cs="Arial"/>
              </w:rPr>
              <w:t>Summary and r</w:t>
            </w:r>
            <w:r w:rsidR="00D5547E" w:rsidRPr="00575235">
              <w:rPr>
                <w:rStyle w:val="Firstpagetablebold"/>
                <w:rFonts w:cs="Arial"/>
              </w:rPr>
              <w:t>ecommendations</w:t>
            </w:r>
          </w:p>
        </w:tc>
      </w:tr>
      <w:tr w:rsidR="00D5547E" w:rsidRPr="00575235" w14:paraId="65F7D80B" w14:textId="77777777" w:rsidTr="00F524C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42" w:type="dxa"/>
          <w:wAfter w:w="11" w:type="dxa"/>
          <w:trHeight w:val="608"/>
        </w:trPr>
        <w:tc>
          <w:tcPr>
            <w:tcW w:w="2160" w:type="dxa"/>
            <w:gridSpan w:val="2"/>
            <w:tcBorders>
              <w:top w:val="single" w:sz="8" w:space="0" w:color="000000"/>
              <w:left w:val="single" w:sz="8" w:space="0" w:color="000000"/>
              <w:bottom w:val="single" w:sz="4" w:space="0" w:color="auto"/>
              <w:right w:val="nil"/>
            </w:tcBorders>
            <w:hideMark/>
          </w:tcPr>
          <w:p w14:paraId="075659FC" w14:textId="77777777" w:rsidR="00D5547E" w:rsidRPr="00575235" w:rsidRDefault="00D5547E" w:rsidP="0041652A">
            <w:pPr>
              <w:tabs>
                <w:tab w:val="left" w:pos="8647"/>
              </w:tabs>
              <w:ind w:right="459"/>
              <w:rPr>
                <w:rStyle w:val="Firstpagetablebold"/>
                <w:rFonts w:cs="Arial"/>
              </w:rPr>
            </w:pPr>
            <w:r w:rsidRPr="00575235">
              <w:rPr>
                <w:rStyle w:val="Firstpagetablebold"/>
                <w:rFonts w:cs="Arial"/>
              </w:rPr>
              <w:t>Purpose of report:</w:t>
            </w:r>
          </w:p>
        </w:tc>
        <w:tc>
          <w:tcPr>
            <w:tcW w:w="6662" w:type="dxa"/>
            <w:gridSpan w:val="2"/>
            <w:tcBorders>
              <w:top w:val="single" w:sz="8" w:space="0" w:color="000000"/>
              <w:left w:val="nil"/>
              <w:bottom w:val="single" w:sz="4" w:space="0" w:color="auto"/>
              <w:right w:val="single" w:sz="8" w:space="0" w:color="000000"/>
            </w:tcBorders>
          </w:tcPr>
          <w:p w14:paraId="16C6DC23" w14:textId="3D70BA16" w:rsidR="00591686" w:rsidRPr="00575235" w:rsidRDefault="00591686" w:rsidP="00203C5C">
            <w:pPr>
              <w:tabs>
                <w:tab w:val="left" w:pos="8647"/>
              </w:tabs>
              <w:ind w:right="1076"/>
              <w:rPr>
                <w:rFonts w:cs="Arial"/>
              </w:rPr>
            </w:pPr>
            <w:r w:rsidRPr="00575235">
              <w:rPr>
                <w:rFonts w:cs="Arial"/>
              </w:rPr>
              <w:t>This report provides an update into the activities of Barton Oxford LLP over the quarter</w:t>
            </w:r>
            <w:r w:rsidR="005D3EF8">
              <w:rPr>
                <w:rFonts w:cs="Arial"/>
              </w:rPr>
              <w:t xml:space="preserve"> to 31</w:t>
            </w:r>
            <w:r w:rsidR="005D3EF8" w:rsidRPr="00A01D49">
              <w:rPr>
                <w:rFonts w:cs="Arial"/>
                <w:vertAlign w:val="superscript"/>
              </w:rPr>
              <w:t>st</w:t>
            </w:r>
            <w:r w:rsidR="005D3EF8">
              <w:rPr>
                <w:rFonts w:cs="Arial"/>
              </w:rPr>
              <w:t xml:space="preserve"> march 2020</w:t>
            </w:r>
            <w:r w:rsidR="000947DC">
              <w:rPr>
                <w:rFonts w:cs="Arial"/>
              </w:rPr>
              <w:t>.</w:t>
            </w:r>
          </w:p>
        </w:tc>
      </w:tr>
      <w:tr w:rsidR="005F7F7E" w:rsidRPr="00575235" w14:paraId="4D7D4350" w14:textId="77777777" w:rsidTr="00F524C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42" w:type="dxa"/>
          <w:wAfter w:w="11" w:type="dxa"/>
          <w:trHeight w:val="319"/>
        </w:trPr>
        <w:tc>
          <w:tcPr>
            <w:tcW w:w="8822" w:type="dxa"/>
            <w:gridSpan w:val="4"/>
            <w:tcBorders>
              <w:top w:val="single" w:sz="4" w:space="0" w:color="auto"/>
              <w:bottom w:val="nil"/>
            </w:tcBorders>
          </w:tcPr>
          <w:p w14:paraId="70281A13" w14:textId="77777777" w:rsidR="005F7F7E" w:rsidRPr="00575235" w:rsidRDefault="005F7F7E" w:rsidP="00203C5C">
            <w:pPr>
              <w:tabs>
                <w:tab w:val="left" w:pos="8647"/>
              </w:tabs>
              <w:ind w:right="1076"/>
              <w:rPr>
                <w:rFonts w:cs="Arial"/>
              </w:rPr>
            </w:pPr>
            <w:r w:rsidRPr="00575235">
              <w:rPr>
                <w:rStyle w:val="Firstpagetablebold"/>
                <w:rFonts w:cs="Arial"/>
              </w:rPr>
              <w:t>Recommendation(s):</w:t>
            </w:r>
            <w:r w:rsidR="00E13656" w:rsidRPr="00575235">
              <w:rPr>
                <w:rStyle w:val="Firstpagetablebold"/>
                <w:rFonts w:cs="Arial"/>
              </w:rPr>
              <w:t>There is a resolution to</w:t>
            </w:r>
            <w:r w:rsidRPr="00575235">
              <w:rPr>
                <w:rStyle w:val="Firstpagetablebold"/>
                <w:rFonts w:cs="Arial"/>
              </w:rPr>
              <w:t>:</w:t>
            </w:r>
          </w:p>
        </w:tc>
      </w:tr>
      <w:tr w:rsidR="0030208D" w:rsidRPr="00575235" w14:paraId="7ED39FED" w14:textId="77777777" w:rsidTr="00F524C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42" w:type="dxa"/>
          <w:wAfter w:w="11" w:type="dxa"/>
          <w:trHeight w:val="307"/>
        </w:trPr>
        <w:tc>
          <w:tcPr>
            <w:tcW w:w="709" w:type="dxa"/>
            <w:tcBorders>
              <w:top w:val="nil"/>
              <w:left w:val="single" w:sz="8" w:space="0" w:color="000000"/>
              <w:bottom w:val="single" w:sz="4" w:space="0" w:color="auto"/>
              <w:right w:val="nil"/>
            </w:tcBorders>
          </w:tcPr>
          <w:p w14:paraId="598C2A01" w14:textId="77777777" w:rsidR="0030208D" w:rsidRPr="00575235" w:rsidRDefault="0030208D" w:rsidP="00203C5C">
            <w:pPr>
              <w:pStyle w:val="ListParagraph"/>
              <w:numPr>
                <w:ilvl w:val="0"/>
                <w:numId w:val="31"/>
              </w:numPr>
              <w:tabs>
                <w:tab w:val="clear" w:pos="426"/>
                <w:tab w:val="left" w:pos="8647"/>
              </w:tabs>
              <w:ind w:left="317" w:right="1076" w:hanging="141"/>
              <w:jc w:val="center"/>
              <w:rPr>
                <w:rFonts w:cs="Arial"/>
              </w:rPr>
            </w:pPr>
          </w:p>
        </w:tc>
        <w:tc>
          <w:tcPr>
            <w:tcW w:w="8113" w:type="dxa"/>
            <w:gridSpan w:val="3"/>
            <w:tcBorders>
              <w:top w:val="nil"/>
              <w:left w:val="nil"/>
              <w:bottom w:val="single" w:sz="4" w:space="0" w:color="auto"/>
              <w:right w:val="single" w:sz="8" w:space="0" w:color="000000"/>
            </w:tcBorders>
            <w:shd w:val="clear" w:color="auto" w:fill="auto"/>
          </w:tcPr>
          <w:p w14:paraId="71344F50" w14:textId="77777777" w:rsidR="0030208D" w:rsidRPr="00575235" w:rsidRDefault="00E13656" w:rsidP="00477BE1">
            <w:pPr>
              <w:spacing w:after="0"/>
              <w:ind w:right="1076"/>
              <w:contextualSpacing/>
              <w:jc w:val="both"/>
              <w:rPr>
                <w:rFonts w:cs="Arial"/>
              </w:rPr>
            </w:pPr>
            <w:r w:rsidRPr="00575235">
              <w:rPr>
                <w:rFonts w:cs="Arial"/>
              </w:rPr>
              <w:t>Note the contents of the report</w:t>
            </w:r>
            <w:r w:rsidR="002A2D09">
              <w:rPr>
                <w:rFonts w:cs="Arial"/>
              </w:rPr>
              <w:t>.</w:t>
            </w:r>
            <w:r w:rsidRPr="00575235">
              <w:rPr>
                <w:rFonts w:cs="Arial"/>
              </w:rPr>
              <w:t xml:space="preserve"> </w:t>
            </w:r>
          </w:p>
        </w:tc>
      </w:tr>
    </w:tbl>
    <w:p w14:paraId="70A8E988" w14:textId="77777777" w:rsidR="00CE544A" w:rsidRPr="00575235" w:rsidRDefault="00CE544A" w:rsidP="00203C5C">
      <w:pPr>
        <w:tabs>
          <w:tab w:val="left" w:pos="8647"/>
        </w:tabs>
        <w:ind w:right="1076"/>
        <w:rPr>
          <w:rFonts w:cs="Arial"/>
        </w:rPr>
      </w:pPr>
    </w:p>
    <w:tbl>
      <w:tblPr>
        <w:tblW w:w="86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6379"/>
      </w:tblGrid>
      <w:tr w:rsidR="00966D42" w:rsidRPr="00575235" w14:paraId="65ED52DB" w14:textId="77777777" w:rsidTr="0041652A">
        <w:trPr>
          <w:trHeight w:val="487"/>
        </w:trPr>
        <w:tc>
          <w:tcPr>
            <w:tcW w:w="8671" w:type="dxa"/>
            <w:gridSpan w:val="2"/>
            <w:tcBorders>
              <w:top w:val="single" w:sz="8" w:space="0" w:color="000000"/>
              <w:left w:val="single" w:sz="8" w:space="0" w:color="000000"/>
              <w:bottom w:val="single" w:sz="8" w:space="0" w:color="000000"/>
              <w:right w:val="single" w:sz="8" w:space="0" w:color="000000"/>
            </w:tcBorders>
            <w:shd w:val="clear" w:color="auto" w:fill="auto"/>
          </w:tcPr>
          <w:p w14:paraId="1B13E964" w14:textId="77777777" w:rsidR="00966D42" w:rsidRPr="00575235" w:rsidRDefault="00966D42" w:rsidP="00203C5C">
            <w:pPr>
              <w:tabs>
                <w:tab w:val="left" w:pos="8647"/>
              </w:tabs>
              <w:ind w:right="1076"/>
              <w:jc w:val="center"/>
              <w:rPr>
                <w:rFonts w:cs="Arial"/>
              </w:rPr>
            </w:pPr>
            <w:r w:rsidRPr="00575235">
              <w:rPr>
                <w:rStyle w:val="Firstpagetablebold"/>
                <w:rFonts w:cs="Arial"/>
              </w:rPr>
              <w:t>Appendices</w:t>
            </w:r>
          </w:p>
        </w:tc>
      </w:tr>
      <w:tr w:rsidR="00ED5860" w:rsidRPr="00575235" w14:paraId="761AAE59" w14:textId="77777777" w:rsidTr="0041652A">
        <w:trPr>
          <w:trHeight w:val="372"/>
        </w:trPr>
        <w:tc>
          <w:tcPr>
            <w:tcW w:w="2292" w:type="dxa"/>
            <w:tcBorders>
              <w:top w:val="single" w:sz="8" w:space="0" w:color="000000"/>
              <w:left w:val="single" w:sz="8" w:space="0" w:color="000000"/>
              <w:bottom w:val="single" w:sz="4" w:space="0" w:color="auto"/>
              <w:right w:val="nil"/>
            </w:tcBorders>
            <w:shd w:val="clear" w:color="auto" w:fill="auto"/>
          </w:tcPr>
          <w:p w14:paraId="5C9077DE" w14:textId="6A93C0FF" w:rsidR="00ED5860" w:rsidRPr="00575235" w:rsidRDefault="00840B10" w:rsidP="0041652A">
            <w:pPr>
              <w:tabs>
                <w:tab w:val="left" w:pos="8647"/>
              </w:tabs>
              <w:ind w:right="325"/>
              <w:rPr>
                <w:rFonts w:cs="Arial"/>
                <w:color w:val="auto"/>
              </w:rPr>
            </w:pPr>
            <w:r w:rsidRPr="00575235">
              <w:rPr>
                <w:rFonts w:cs="Arial"/>
                <w:color w:val="auto"/>
              </w:rPr>
              <w:t xml:space="preserve">Appendix </w:t>
            </w:r>
            <w:r w:rsidR="0041652A">
              <w:rPr>
                <w:rFonts w:cs="Arial"/>
                <w:color w:val="auto"/>
              </w:rPr>
              <w:t>1</w:t>
            </w:r>
          </w:p>
        </w:tc>
        <w:tc>
          <w:tcPr>
            <w:tcW w:w="6379" w:type="dxa"/>
            <w:tcBorders>
              <w:top w:val="single" w:sz="8" w:space="0" w:color="000000"/>
              <w:left w:val="nil"/>
              <w:bottom w:val="single" w:sz="4" w:space="0" w:color="auto"/>
              <w:right w:val="single" w:sz="8" w:space="0" w:color="000000"/>
            </w:tcBorders>
          </w:tcPr>
          <w:p w14:paraId="2D537776" w14:textId="69DE1E20" w:rsidR="00ED5860" w:rsidRPr="00575235" w:rsidRDefault="00A464C4" w:rsidP="0041652A">
            <w:pPr>
              <w:tabs>
                <w:tab w:val="left" w:pos="8647"/>
              </w:tabs>
              <w:ind w:right="1076"/>
              <w:rPr>
                <w:rFonts w:cs="Arial"/>
                <w:color w:val="auto"/>
              </w:rPr>
            </w:pPr>
            <w:r w:rsidRPr="00575235">
              <w:rPr>
                <w:rFonts w:cs="Arial"/>
                <w:color w:val="auto"/>
              </w:rPr>
              <w:t xml:space="preserve">Not for publication </w:t>
            </w:r>
            <w:r w:rsidR="0041652A">
              <w:rPr>
                <w:rFonts w:cs="Arial"/>
                <w:color w:val="auto"/>
              </w:rPr>
              <w:t xml:space="preserve">- </w:t>
            </w:r>
            <w:r w:rsidRPr="00575235">
              <w:rPr>
                <w:rFonts w:cs="Arial"/>
                <w:color w:val="auto"/>
              </w:rPr>
              <w:t>sales and marketing</w:t>
            </w:r>
            <w:r w:rsidR="002A2D09">
              <w:rPr>
                <w:rFonts w:cs="Arial"/>
                <w:color w:val="auto"/>
              </w:rPr>
              <w:t>.</w:t>
            </w:r>
            <w:r w:rsidRPr="00575235">
              <w:rPr>
                <w:rFonts w:cs="Arial"/>
                <w:color w:val="auto"/>
              </w:rPr>
              <w:t xml:space="preserve"> </w:t>
            </w:r>
          </w:p>
        </w:tc>
      </w:tr>
    </w:tbl>
    <w:p w14:paraId="0B1CDB0D" w14:textId="77777777" w:rsidR="00FB7F38" w:rsidRDefault="00FB7F38" w:rsidP="00203C5C">
      <w:pPr>
        <w:tabs>
          <w:tab w:val="left" w:pos="8647"/>
        </w:tabs>
        <w:spacing w:after="0"/>
        <w:ind w:right="1076"/>
        <w:rPr>
          <w:rFonts w:eastAsiaTheme="minorHAnsi" w:cs="Arial"/>
          <w:color w:val="auto"/>
          <w:lang w:eastAsia="en-US"/>
        </w:rPr>
      </w:pPr>
    </w:p>
    <w:p w14:paraId="088D1C7A" w14:textId="77777777" w:rsidR="0041652A" w:rsidRPr="00575235" w:rsidRDefault="0041652A" w:rsidP="00203C5C">
      <w:pPr>
        <w:tabs>
          <w:tab w:val="left" w:pos="8647"/>
        </w:tabs>
        <w:spacing w:after="0"/>
        <w:ind w:right="1076"/>
        <w:rPr>
          <w:rFonts w:eastAsiaTheme="minorHAnsi" w:cs="Arial"/>
          <w:color w:val="auto"/>
          <w:lang w:eastAsia="en-US"/>
        </w:rPr>
      </w:pPr>
    </w:p>
    <w:p w14:paraId="6D0C265C" w14:textId="77777777" w:rsidR="00FB7F38" w:rsidRPr="00575235" w:rsidRDefault="00FB7F38" w:rsidP="00477BE1">
      <w:pPr>
        <w:tabs>
          <w:tab w:val="left" w:pos="8647"/>
        </w:tabs>
        <w:ind w:left="284" w:right="1077"/>
        <w:rPr>
          <w:rFonts w:eastAsiaTheme="minorHAnsi" w:cs="Arial"/>
          <w:b/>
          <w:color w:val="auto"/>
          <w:lang w:eastAsia="en-US"/>
        </w:rPr>
      </w:pPr>
      <w:r w:rsidRPr="00575235">
        <w:rPr>
          <w:rFonts w:eastAsiaTheme="minorHAnsi" w:cs="Arial"/>
          <w:b/>
          <w:color w:val="auto"/>
          <w:lang w:eastAsia="en-US"/>
        </w:rPr>
        <w:t xml:space="preserve">Introduction and </w:t>
      </w:r>
      <w:r w:rsidR="008B593E" w:rsidRPr="00575235">
        <w:rPr>
          <w:rFonts w:eastAsiaTheme="minorHAnsi" w:cs="Arial"/>
          <w:b/>
          <w:color w:val="auto"/>
          <w:lang w:eastAsia="en-US"/>
        </w:rPr>
        <w:t>b</w:t>
      </w:r>
      <w:r w:rsidRPr="00575235">
        <w:rPr>
          <w:rFonts w:eastAsiaTheme="minorHAnsi" w:cs="Arial"/>
          <w:b/>
          <w:color w:val="auto"/>
          <w:lang w:eastAsia="en-US"/>
        </w:rPr>
        <w:t>ackground</w:t>
      </w:r>
    </w:p>
    <w:p w14:paraId="5D481290" w14:textId="02305EBD" w:rsidR="0057130A" w:rsidRPr="00AD78FD" w:rsidRDefault="007859F3" w:rsidP="00477BE1">
      <w:pPr>
        <w:pStyle w:val="Numberedlist"/>
        <w:tabs>
          <w:tab w:val="clear" w:pos="993"/>
        </w:tabs>
        <w:ind w:left="709" w:hanging="425"/>
        <w:rPr>
          <w:rFonts w:eastAsiaTheme="minorHAnsi"/>
          <w:lang w:eastAsia="en-US"/>
        </w:rPr>
      </w:pPr>
      <w:r w:rsidRPr="00AD78FD">
        <w:rPr>
          <w:rFonts w:eastAsiaTheme="minorHAnsi"/>
          <w:lang w:eastAsia="en-US"/>
        </w:rPr>
        <w:t xml:space="preserve">This is the </w:t>
      </w:r>
      <w:r w:rsidR="0041652A">
        <w:rPr>
          <w:rFonts w:eastAsiaTheme="minorHAnsi"/>
          <w:lang w:eastAsia="en-US"/>
        </w:rPr>
        <w:t>fourth</w:t>
      </w:r>
      <w:r w:rsidRPr="00AD78FD">
        <w:rPr>
          <w:rFonts w:eastAsiaTheme="minorHAnsi"/>
          <w:lang w:eastAsia="en-US"/>
        </w:rPr>
        <w:t xml:space="preserve"> report to the Shar</w:t>
      </w:r>
      <w:r w:rsidR="000947DC" w:rsidRPr="00AD78FD">
        <w:rPr>
          <w:rFonts w:eastAsiaTheme="minorHAnsi"/>
          <w:lang w:eastAsia="en-US"/>
        </w:rPr>
        <w:t>eholder and Joint Venture Group</w:t>
      </w:r>
      <w:r w:rsidR="00E30BB3" w:rsidRPr="00AD78FD">
        <w:rPr>
          <w:rFonts w:eastAsiaTheme="minorHAnsi"/>
          <w:lang w:eastAsia="en-US"/>
        </w:rPr>
        <w:t xml:space="preserve"> covering the period since the previous update in </w:t>
      </w:r>
      <w:r w:rsidR="004C0C86" w:rsidRPr="00AD78FD">
        <w:rPr>
          <w:rFonts w:eastAsiaTheme="minorHAnsi"/>
          <w:lang w:eastAsia="en-US"/>
        </w:rPr>
        <w:t xml:space="preserve">November </w:t>
      </w:r>
      <w:r w:rsidR="00E30BB3" w:rsidRPr="00AD78FD">
        <w:rPr>
          <w:rFonts w:eastAsiaTheme="minorHAnsi"/>
          <w:lang w:eastAsia="en-US"/>
        </w:rPr>
        <w:t>2019</w:t>
      </w:r>
      <w:r w:rsidRPr="00AD78FD">
        <w:rPr>
          <w:rFonts w:eastAsiaTheme="minorHAnsi"/>
          <w:lang w:eastAsia="en-US"/>
        </w:rPr>
        <w:t xml:space="preserve">. </w:t>
      </w:r>
    </w:p>
    <w:p w14:paraId="14AF2505" w14:textId="77777777" w:rsidR="0041652A" w:rsidRDefault="0041652A" w:rsidP="00477BE1">
      <w:pPr>
        <w:tabs>
          <w:tab w:val="left" w:pos="8647"/>
        </w:tabs>
        <w:spacing w:after="0"/>
        <w:ind w:left="284" w:right="1077"/>
        <w:rPr>
          <w:rFonts w:eastAsiaTheme="minorHAnsi" w:cs="Arial"/>
          <w:b/>
          <w:color w:val="auto"/>
          <w:lang w:eastAsia="en-US"/>
        </w:rPr>
      </w:pPr>
    </w:p>
    <w:p w14:paraId="782CAF45" w14:textId="77777777" w:rsidR="006D052F" w:rsidRPr="00575235" w:rsidRDefault="0057130A" w:rsidP="00203C5C">
      <w:pPr>
        <w:tabs>
          <w:tab w:val="left" w:pos="8647"/>
        </w:tabs>
        <w:ind w:left="284" w:right="1076"/>
        <w:rPr>
          <w:rFonts w:eastAsiaTheme="minorHAnsi" w:cs="Arial"/>
          <w:b/>
          <w:color w:val="auto"/>
          <w:lang w:eastAsia="en-US"/>
        </w:rPr>
      </w:pPr>
      <w:r w:rsidRPr="00575235">
        <w:rPr>
          <w:rFonts w:eastAsiaTheme="minorHAnsi" w:cs="Arial"/>
          <w:b/>
          <w:color w:val="auto"/>
          <w:lang w:eastAsia="en-US"/>
        </w:rPr>
        <w:t xml:space="preserve">Progress Update </w:t>
      </w:r>
    </w:p>
    <w:p w14:paraId="46BB88D1" w14:textId="24149DB0" w:rsidR="00CF2861" w:rsidRPr="000947DC" w:rsidRDefault="00FC269F" w:rsidP="00477BE1">
      <w:pPr>
        <w:tabs>
          <w:tab w:val="left" w:pos="8647"/>
        </w:tabs>
        <w:ind w:left="284" w:right="1077"/>
        <w:jc w:val="both"/>
        <w:rPr>
          <w:rFonts w:eastAsiaTheme="minorHAnsi" w:cs="Arial"/>
          <w:b/>
          <w:color w:val="auto"/>
          <w:lang w:eastAsia="en-US"/>
        </w:rPr>
      </w:pPr>
      <w:r w:rsidRPr="000947DC">
        <w:rPr>
          <w:rFonts w:eastAsiaTheme="minorHAnsi" w:cs="Arial"/>
          <w:b/>
          <w:color w:val="auto"/>
          <w:lang w:eastAsia="en-US"/>
        </w:rPr>
        <w:t xml:space="preserve">First Phase </w:t>
      </w:r>
    </w:p>
    <w:p w14:paraId="237C8588" w14:textId="183B6D59" w:rsidR="007859F3" w:rsidRPr="00477BE1" w:rsidRDefault="0066332C" w:rsidP="00477BE1">
      <w:pPr>
        <w:pStyle w:val="ListParagraph"/>
        <w:numPr>
          <w:ilvl w:val="0"/>
          <w:numId w:val="31"/>
        </w:numPr>
        <w:spacing w:after="0"/>
        <w:ind w:right="-29"/>
        <w:contextualSpacing/>
        <w:jc w:val="both"/>
        <w:rPr>
          <w:rFonts w:eastAsiaTheme="minorHAnsi" w:cs="Arial"/>
          <w:color w:val="auto"/>
          <w:lang w:eastAsia="en-US"/>
        </w:rPr>
      </w:pPr>
      <w:r>
        <w:rPr>
          <w:rFonts w:eastAsiaTheme="minorHAnsi" w:cs="Arial"/>
          <w:color w:val="auto"/>
          <w:lang w:eastAsia="en-US"/>
        </w:rPr>
        <w:t>The scheme is for 237 units .</w:t>
      </w:r>
      <w:r w:rsidR="00CF2861" w:rsidRPr="00477BE1">
        <w:rPr>
          <w:rFonts w:eastAsiaTheme="minorHAnsi" w:cs="Arial"/>
          <w:color w:val="auto"/>
          <w:lang w:eastAsia="en-US"/>
        </w:rPr>
        <w:t>There have now been a total of 136 occupations of which 60 are social rented properties purchased by Oxford Ci</w:t>
      </w:r>
      <w:r w:rsidR="00DD45BC" w:rsidRPr="00477BE1">
        <w:rPr>
          <w:rFonts w:eastAsiaTheme="minorHAnsi" w:cs="Arial"/>
          <w:color w:val="auto"/>
          <w:lang w:eastAsia="en-US"/>
        </w:rPr>
        <w:t>ty Housing (Investment) Limited</w:t>
      </w:r>
      <w:r w:rsidR="00CF2861" w:rsidRPr="00477BE1">
        <w:rPr>
          <w:rFonts w:eastAsiaTheme="minorHAnsi" w:cs="Arial"/>
          <w:color w:val="auto"/>
          <w:lang w:eastAsia="en-US"/>
        </w:rPr>
        <w:t>.</w:t>
      </w:r>
      <w:r w:rsidR="00DD45BC" w:rsidRPr="00477BE1">
        <w:rPr>
          <w:rFonts w:eastAsiaTheme="minorHAnsi" w:cs="Arial"/>
          <w:color w:val="auto"/>
          <w:lang w:eastAsia="en-US"/>
        </w:rPr>
        <w:t xml:space="preserve"> </w:t>
      </w:r>
      <w:r w:rsidR="00CF2861" w:rsidRPr="00477BE1">
        <w:rPr>
          <w:rFonts w:eastAsiaTheme="minorHAnsi" w:cs="Arial"/>
          <w:color w:val="auto"/>
          <w:lang w:eastAsia="en-US"/>
        </w:rPr>
        <w:t xml:space="preserve">A further </w:t>
      </w:r>
      <w:r>
        <w:rPr>
          <w:rFonts w:eastAsiaTheme="minorHAnsi" w:cs="Arial"/>
          <w:color w:val="auto"/>
          <w:lang w:eastAsia="en-US"/>
        </w:rPr>
        <w:t xml:space="preserve">87 </w:t>
      </w:r>
      <w:r w:rsidR="00CF2861" w:rsidRPr="00477BE1">
        <w:rPr>
          <w:rFonts w:eastAsiaTheme="minorHAnsi" w:cs="Arial"/>
          <w:color w:val="auto"/>
          <w:lang w:eastAsia="en-US"/>
        </w:rPr>
        <w:t>are planned during 2020 (</w:t>
      </w:r>
      <w:r w:rsidR="0059368E" w:rsidRPr="00477BE1">
        <w:rPr>
          <w:rFonts w:eastAsiaTheme="minorHAnsi" w:cs="Arial"/>
          <w:color w:val="auto"/>
          <w:lang w:eastAsia="en-US"/>
        </w:rPr>
        <w:t>34</w:t>
      </w:r>
      <w:r w:rsidR="00DD45BC" w:rsidRPr="00477BE1">
        <w:rPr>
          <w:rFonts w:eastAsiaTheme="minorHAnsi" w:cs="Arial"/>
          <w:color w:val="auto"/>
          <w:lang w:eastAsia="en-US"/>
        </w:rPr>
        <w:t xml:space="preserve"> social rented</w:t>
      </w:r>
      <w:r w:rsidR="00CF2861" w:rsidRPr="00477BE1">
        <w:rPr>
          <w:rFonts w:eastAsiaTheme="minorHAnsi" w:cs="Arial"/>
          <w:color w:val="auto"/>
          <w:lang w:eastAsia="en-US"/>
        </w:rPr>
        <w:t>) and the final 14</w:t>
      </w:r>
      <w:r w:rsidR="0059368E" w:rsidRPr="00477BE1">
        <w:rPr>
          <w:rFonts w:eastAsiaTheme="minorHAnsi" w:cs="Arial"/>
          <w:color w:val="auto"/>
          <w:lang w:eastAsia="en-US"/>
        </w:rPr>
        <w:t xml:space="preserve"> (all private sale) </w:t>
      </w:r>
      <w:r w:rsidR="00DD45BC" w:rsidRPr="00477BE1">
        <w:rPr>
          <w:rFonts w:eastAsiaTheme="minorHAnsi" w:cs="Arial"/>
          <w:color w:val="auto"/>
          <w:lang w:eastAsia="en-US"/>
        </w:rPr>
        <w:t>in 2021</w:t>
      </w:r>
      <w:r w:rsidR="00CF2861" w:rsidRPr="00477BE1">
        <w:rPr>
          <w:rFonts w:eastAsiaTheme="minorHAnsi" w:cs="Arial"/>
          <w:color w:val="auto"/>
          <w:lang w:eastAsia="en-US"/>
        </w:rPr>
        <w:t>.</w:t>
      </w:r>
    </w:p>
    <w:p w14:paraId="7B1B7072" w14:textId="77777777" w:rsidR="007859F3" w:rsidRDefault="007859F3" w:rsidP="00203C5C">
      <w:pPr>
        <w:tabs>
          <w:tab w:val="left" w:pos="8647"/>
        </w:tabs>
        <w:spacing w:after="0"/>
        <w:ind w:left="284" w:right="1076"/>
        <w:contextualSpacing/>
        <w:jc w:val="both"/>
        <w:rPr>
          <w:rFonts w:eastAsiaTheme="minorHAnsi" w:cs="Arial"/>
          <w:i/>
          <w:color w:val="auto"/>
          <w:lang w:eastAsia="en-US"/>
        </w:rPr>
      </w:pPr>
    </w:p>
    <w:p w14:paraId="62F5B7FA" w14:textId="77777777" w:rsidR="007859F3" w:rsidRDefault="00EA1336" w:rsidP="00477BE1">
      <w:pPr>
        <w:tabs>
          <w:tab w:val="left" w:pos="8647"/>
        </w:tabs>
        <w:ind w:left="284" w:right="1077"/>
        <w:jc w:val="both"/>
        <w:rPr>
          <w:rFonts w:eastAsiaTheme="minorHAnsi" w:cs="Arial"/>
          <w:b/>
          <w:color w:val="auto"/>
          <w:lang w:eastAsia="en-US"/>
        </w:rPr>
      </w:pPr>
      <w:r w:rsidRPr="00361C76">
        <w:rPr>
          <w:rFonts w:eastAsiaTheme="minorHAnsi" w:cs="Arial"/>
          <w:b/>
          <w:color w:val="auto"/>
          <w:lang w:eastAsia="en-US"/>
        </w:rPr>
        <w:t>Second Phase</w:t>
      </w:r>
    </w:p>
    <w:p w14:paraId="079FD57B" w14:textId="77777777" w:rsidR="00EA1336" w:rsidRPr="00477BE1" w:rsidRDefault="007859F3" w:rsidP="00477BE1">
      <w:pPr>
        <w:pStyle w:val="ListParagraph"/>
        <w:numPr>
          <w:ilvl w:val="0"/>
          <w:numId w:val="31"/>
        </w:numPr>
        <w:spacing w:after="0"/>
        <w:ind w:right="-29"/>
        <w:jc w:val="both"/>
        <w:rPr>
          <w:rFonts w:eastAsiaTheme="minorHAnsi" w:cs="Arial"/>
          <w:b/>
          <w:color w:val="auto"/>
          <w:lang w:eastAsia="en-US"/>
        </w:rPr>
      </w:pPr>
      <w:r w:rsidRPr="00477BE1">
        <w:rPr>
          <w:rFonts w:eastAsiaTheme="minorHAnsi" w:cs="Arial"/>
          <w:color w:val="auto"/>
          <w:lang w:eastAsia="en-US"/>
        </w:rPr>
        <w:t>Works continue at pace</w:t>
      </w:r>
      <w:r w:rsidR="003058CB" w:rsidRPr="00477BE1">
        <w:rPr>
          <w:rFonts w:eastAsiaTheme="minorHAnsi" w:cs="Arial"/>
          <w:color w:val="auto"/>
          <w:lang w:eastAsia="en-US"/>
        </w:rPr>
        <w:t xml:space="preserve"> and good progress has been reported. The site has fared well bearing in mind the levels of rainfall in recent weeks</w:t>
      </w:r>
      <w:r w:rsidRPr="00477BE1">
        <w:rPr>
          <w:rFonts w:eastAsiaTheme="minorHAnsi" w:cs="Arial"/>
          <w:color w:val="auto"/>
          <w:lang w:eastAsia="en-US"/>
        </w:rPr>
        <w:t>.</w:t>
      </w:r>
      <w:r w:rsidR="00BA453E" w:rsidRPr="00477BE1">
        <w:rPr>
          <w:rFonts w:eastAsiaTheme="minorHAnsi" w:cs="Arial"/>
          <w:color w:val="auto"/>
          <w:lang w:eastAsia="en-US"/>
        </w:rPr>
        <w:t xml:space="preserve">  </w:t>
      </w:r>
      <w:proofErr w:type="spellStart"/>
      <w:r w:rsidRPr="00477BE1">
        <w:rPr>
          <w:rFonts w:eastAsiaTheme="minorHAnsi" w:cs="Arial"/>
          <w:color w:val="auto"/>
          <w:lang w:eastAsia="en-US"/>
        </w:rPr>
        <w:t>R</w:t>
      </w:r>
      <w:r w:rsidR="00645BA8" w:rsidRPr="00477BE1">
        <w:rPr>
          <w:rFonts w:eastAsiaTheme="minorHAnsi" w:cs="Arial"/>
          <w:color w:val="auto"/>
          <w:lang w:eastAsia="en-US"/>
        </w:rPr>
        <w:t>edrow</w:t>
      </w:r>
      <w:proofErr w:type="spellEnd"/>
      <w:r w:rsidR="00645BA8" w:rsidRPr="00477BE1">
        <w:rPr>
          <w:rFonts w:eastAsiaTheme="minorHAnsi" w:cs="Arial"/>
          <w:color w:val="auto"/>
          <w:lang w:eastAsia="en-US"/>
        </w:rPr>
        <w:t xml:space="preserve"> </w:t>
      </w:r>
      <w:r w:rsidRPr="00477BE1">
        <w:rPr>
          <w:rFonts w:eastAsiaTheme="minorHAnsi" w:cs="Arial"/>
          <w:color w:val="auto"/>
          <w:lang w:eastAsia="en-US"/>
        </w:rPr>
        <w:t xml:space="preserve">still </w:t>
      </w:r>
      <w:r w:rsidR="00645BA8" w:rsidRPr="00477BE1">
        <w:rPr>
          <w:rFonts w:eastAsiaTheme="minorHAnsi" w:cs="Arial"/>
          <w:color w:val="auto"/>
          <w:lang w:eastAsia="en-US"/>
        </w:rPr>
        <w:t>expect the first 20 un</w:t>
      </w:r>
      <w:r w:rsidR="000947DC" w:rsidRPr="00477BE1">
        <w:rPr>
          <w:rFonts w:eastAsiaTheme="minorHAnsi" w:cs="Arial"/>
          <w:color w:val="auto"/>
          <w:lang w:eastAsia="en-US"/>
        </w:rPr>
        <w:t xml:space="preserve">its to be complete in </w:t>
      </w:r>
      <w:r w:rsidR="0059368E" w:rsidRPr="00477BE1">
        <w:rPr>
          <w:rFonts w:eastAsiaTheme="minorHAnsi" w:cs="Arial"/>
          <w:color w:val="auto"/>
          <w:lang w:eastAsia="en-US"/>
        </w:rPr>
        <w:t xml:space="preserve">late summer </w:t>
      </w:r>
      <w:r w:rsidR="000947DC" w:rsidRPr="00477BE1">
        <w:rPr>
          <w:rFonts w:eastAsiaTheme="minorHAnsi" w:cs="Arial"/>
          <w:color w:val="auto"/>
          <w:lang w:eastAsia="en-US"/>
        </w:rPr>
        <w:t>2020</w:t>
      </w:r>
      <w:r w:rsidR="00645BA8" w:rsidRPr="00477BE1">
        <w:rPr>
          <w:rFonts w:eastAsiaTheme="minorHAnsi" w:cs="Arial"/>
          <w:color w:val="auto"/>
          <w:lang w:eastAsia="en-US"/>
        </w:rPr>
        <w:t xml:space="preserve">, </w:t>
      </w:r>
      <w:r w:rsidR="000947DC" w:rsidRPr="00477BE1">
        <w:rPr>
          <w:rFonts w:eastAsiaTheme="minorHAnsi" w:cs="Arial"/>
          <w:color w:val="auto"/>
          <w:lang w:eastAsia="en-US"/>
        </w:rPr>
        <w:t xml:space="preserve">of which 12 </w:t>
      </w:r>
      <w:r w:rsidR="0059368E" w:rsidRPr="00477BE1">
        <w:rPr>
          <w:rFonts w:eastAsiaTheme="minorHAnsi" w:cs="Arial"/>
          <w:color w:val="auto"/>
          <w:lang w:eastAsia="en-US"/>
        </w:rPr>
        <w:t xml:space="preserve">are expected to be </w:t>
      </w:r>
      <w:r w:rsidR="000947DC" w:rsidRPr="00477BE1">
        <w:rPr>
          <w:rFonts w:eastAsiaTheme="minorHAnsi" w:cs="Arial"/>
          <w:color w:val="auto"/>
          <w:lang w:eastAsia="en-US"/>
        </w:rPr>
        <w:t>social rent</w:t>
      </w:r>
      <w:r w:rsidR="00645BA8" w:rsidRPr="00477BE1">
        <w:rPr>
          <w:rFonts w:eastAsiaTheme="minorHAnsi" w:cs="Arial"/>
          <w:color w:val="auto"/>
          <w:lang w:eastAsia="en-US"/>
        </w:rPr>
        <w:t>.</w:t>
      </w:r>
      <w:r w:rsidR="0059368E" w:rsidRPr="00477BE1">
        <w:rPr>
          <w:rFonts w:eastAsiaTheme="minorHAnsi" w:cs="Arial"/>
          <w:color w:val="auto"/>
          <w:lang w:eastAsia="en-US"/>
        </w:rPr>
        <w:t xml:space="preserve"> </w:t>
      </w:r>
      <w:r w:rsidR="00CF2861" w:rsidRPr="00477BE1">
        <w:rPr>
          <w:rFonts w:eastAsiaTheme="minorHAnsi" w:cs="Arial"/>
          <w:color w:val="auto"/>
          <w:lang w:eastAsia="en-US"/>
        </w:rPr>
        <w:t xml:space="preserve">The overall programme is for 55 completions in 2020 and 152 in 2021. </w:t>
      </w:r>
      <w:r w:rsidR="0059368E" w:rsidRPr="00477BE1">
        <w:rPr>
          <w:rFonts w:eastAsiaTheme="minorHAnsi" w:cs="Arial"/>
          <w:color w:val="auto"/>
          <w:lang w:eastAsia="en-US"/>
        </w:rPr>
        <w:t>Final confirmation of the detailed programme</w:t>
      </w:r>
      <w:r w:rsidR="00E30BB3" w:rsidRPr="00477BE1">
        <w:rPr>
          <w:rFonts w:eastAsiaTheme="minorHAnsi" w:cs="Arial"/>
          <w:color w:val="auto"/>
          <w:lang w:eastAsia="en-US"/>
        </w:rPr>
        <w:t xml:space="preserve"> from </w:t>
      </w:r>
      <w:proofErr w:type="spellStart"/>
      <w:r w:rsidR="00E30BB3" w:rsidRPr="00477BE1">
        <w:rPr>
          <w:rFonts w:eastAsiaTheme="minorHAnsi" w:cs="Arial"/>
          <w:color w:val="auto"/>
          <w:lang w:eastAsia="en-US"/>
        </w:rPr>
        <w:t>Redrow</w:t>
      </w:r>
      <w:proofErr w:type="spellEnd"/>
      <w:r w:rsidR="0059368E" w:rsidRPr="00477BE1">
        <w:rPr>
          <w:rFonts w:eastAsiaTheme="minorHAnsi" w:cs="Arial"/>
          <w:color w:val="auto"/>
          <w:lang w:eastAsia="en-US"/>
        </w:rPr>
        <w:t xml:space="preserve"> is awaited.</w:t>
      </w:r>
    </w:p>
    <w:p w14:paraId="19CD7321" w14:textId="77777777" w:rsidR="00BA453E" w:rsidRPr="00575235" w:rsidRDefault="00BA453E" w:rsidP="00203C5C">
      <w:pPr>
        <w:tabs>
          <w:tab w:val="left" w:pos="8647"/>
        </w:tabs>
        <w:spacing w:after="0"/>
        <w:ind w:left="284" w:right="1076"/>
        <w:jc w:val="both"/>
        <w:rPr>
          <w:rFonts w:eastAsiaTheme="minorHAnsi" w:cs="Arial"/>
          <w:color w:val="auto"/>
          <w:lang w:eastAsia="en-US"/>
        </w:rPr>
      </w:pPr>
    </w:p>
    <w:p w14:paraId="79C6693D" w14:textId="77777777" w:rsidR="00BA453E" w:rsidRPr="00575235" w:rsidRDefault="00BA453E" w:rsidP="00477BE1">
      <w:pPr>
        <w:tabs>
          <w:tab w:val="left" w:pos="8647"/>
        </w:tabs>
        <w:ind w:left="284" w:right="1077"/>
        <w:jc w:val="both"/>
        <w:rPr>
          <w:rFonts w:eastAsiaTheme="minorHAnsi" w:cs="Arial"/>
          <w:b/>
          <w:color w:val="auto"/>
          <w:lang w:eastAsia="en-US"/>
        </w:rPr>
      </w:pPr>
      <w:r w:rsidRPr="00575235">
        <w:rPr>
          <w:rFonts w:eastAsiaTheme="minorHAnsi" w:cs="Arial"/>
          <w:b/>
          <w:color w:val="auto"/>
          <w:lang w:eastAsia="en-US"/>
        </w:rPr>
        <w:t xml:space="preserve">Future Phases </w:t>
      </w:r>
    </w:p>
    <w:p w14:paraId="4BC04877" w14:textId="14642E67" w:rsidR="00BA453E" w:rsidRPr="00477BE1" w:rsidRDefault="00E34794" w:rsidP="00477BE1">
      <w:pPr>
        <w:pStyle w:val="ListParagraph"/>
        <w:numPr>
          <w:ilvl w:val="0"/>
          <w:numId w:val="31"/>
        </w:numPr>
        <w:spacing w:after="0"/>
        <w:ind w:right="-29"/>
        <w:jc w:val="both"/>
        <w:rPr>
          <w:rFonts w:eastAsiaTheme="minorHAnsi" w:cs="Arial"/>
          <w:color w:val="auto"/>
          <w:lang w:eastAsia="en-US"/>
        </w:rPr>
      </w:pPr>
      <w:r w:rsidRPr="00477BE1">
        <w:rPr>
          <w:rFonts w:eastAsiaTheme="minorHAnsi" w:cs="Arial"/>
          <w:color w:val="auto"/>
          <w:lang w:eastAsia="en-US"/>
        </w:rPr>
        <w:t>Delivery of f</w:t>
      </w:r>
      <w:r w:rsidR="00BA453E" w:rsidRPr="00477BE1">
        <w:rPr>
          <w:rFonts w:eastAsiaTheme="minorHAnsi" w:cs="Arial"/>
          <w:color w:val="auto"/>
          <w:lang w:eastAsia="en-US"/>
        </w:rPr>
        <w:t>urther</w:t>
      </w:r>
      <w:r w:rsidRPr="00477BE1">
        <w:rPr>
          <w:rFonts w:eastAsiaTheme="minorHAnsi" w:cs="Arial"/>
          <w:color w:val="auto"/>
          <w:lang w:eastAsia="en-US"/>
        </w:rPr>
        <w:t xml:space="preserve"> phases involves sale</w:t>
      </w:r>
      <w:r w:rsidR="00A423BF" w:rsidRPr="00477BE1">
        <w:rPr>
          <w:rFonts w:eastAsiaTheme="minorHAnsi" w:cs="Arial"/>
          <w:color w:val="auto"/>
          <w:lang w:eastAsia="en-US"/>
        </w:rPr>
        <w:t>s and marketing of land parcels</w:t>
      </w:r>
      <w:r w:rsidRPr="00477BE1">
        <w:rPr>
          <w:rFonts w:eastAsiaTheme="minorHAnsi" w:cs="Arial"/>
          <w:color w:val="auto"/>
          <w:lang w:eastAsia="en-US"/>
        </w:rPr>
        <w:t>, the information is commercially sensitive and further details</w:t>
      </w:r>
      <w:r w:rsidR="00BA453E" w:rsidRPr="00477BE1">
        <w:rPr>
          <w:rFonts w:eastAsiaTheme="minorHAnsi" w:cs="Arial"/>
          <w:color w:val="auto"/>
          <w:lang w:eastAsia="en-US"/>
        </w:rPr>
        <w:t xml:space="preserve"> are contained in t</w:t>
      </w:r>
      <w:r w:rsidR="007367F6" w:rsidRPr="00477BE1">
        <w:rPr>
          <w:rFonts w:eastAsiaTheme="minorHAnsi" w:cs="Arial"/>
          <w:color w:val="auto"/>
          <w:lang w:eastAsia="en-US"/>
        </w:rPr>
        <w:t xml:space="preserve">he not for publication </w:t>
      </w:r>
      <w:r w:rsidR="0009790E">
        <w:rPr>
          <w:rFonts w:eastAsiaTheme="minorHAnsi" w:cs="Arial"/>
          <w:color w:val="auto"/>
          <w:lang w:eastAsia="en-US"/>
        </w:rPr>
        <w:t xml:space="preserve">confidential </w:t>
      </w:r>
      <w:r w:rsidR="007367F6" w:rsidRPr="00477BE1">
        <w:rPr>
          <w:rFonts w:eastAsiaTheme="minorHAnsi" w:cs="Arial"/>
          <w:color w:val="auto"/>
          <w:lang w:eastAsia="en-US"/>
        </w:rPr>
        <w:t>appendix</w:t>
      </w:r>
      <w:r w:rsidR="00BA453E" w:rsidRPr="00477BE1">
        <w:rPr>
          <w:rFonts w:eastAsiaTheme="minorHAnsi" w:cs="Arial"/>
          <w:color w:val="auto"/>
          <w:lang w:eastAsia="en-US"/>
        </w:rPr>
        <w:t>.</w:t>
      </w:r>
    </w:p>
    <w:p w14:paraId="2AA8C816" w14:textId="77777777" w:rsidR="00203C5C" w:rsidRDefault="00203C5C" w:rsidP="00203C5C">
      <w:pPr>
        <w:tabs>
          <w:tab w:val="left" w:pos="8647"/>
        </w:tabs>
        <w:spacing w:after="0"/>
        <w:ind w:left="284" w:right="1076"/>
        <w:jc w:val="both"/>
        <w:rPr>
          <w:rFonts w:eastAsiaTheme="minorHAnsi" w:cs="Arial"/>
          <w:color w:val="auto"/>
          <w:lang w:eastAsia="en-US"/>
        </w:rPr>
      </w:pPr>
    </w:p>
    <w:p w14:paraId="2810B914" w14:textId="77777777" w:rsidR="00203C5C" w:rsidRPr="00203C5C" w:rsidRDefault="00203C5C" w:rsidP="00477BE1">
      <w:pPr>
        <w:tabs>
          <w:tab w:val="left" w:pos="8647"/>
        </w:tabs>
        <w:ind w:left="284" w:right="1077"/>
        <w:jc w:val="both"/>
        <w:rPr>
          <w:rFonts w:eastAsiaTheme="minorHAnsi" w:cs="Arial"/>
          <w:b/>
          <w:color w:val="auto"/>
          <w:lang w:eastAsia="en-US"/>
        </w:rPr>
      </w:pPr>
      <w:r w:rsidRPr="00203C5C">
        <w:rPr>
          <w:rFonts w:eastAsiaTheme="minorHAnsi" w:cs="Arial"/>
          <w:b/>
          <w:color w:val="auto"/>
          <w:lang w:eastAsia="en-US"/>
        </w:rPr>
        <w:t>The Pavilion</w:t>
      </w:r>
    </w:p>
    <w:p w14:paraId="2498F9E0" w14:textId="7EF283CB" w:rsidR="005A1B43" w:rsidRPr="00477BE1" w:rsidRDefault="00E30BB3" w:rsidP="00477BE1">
      <w:pPr>
        <w:pStyle w:val="ListParagraph"/>
        <w:numPr>
          <w:ilvl w:val="0"/>
          <w:numId w:val="31"/>
        </w:numPr>
        <w:spacing w:after="0"/>
        <w:ind w:right="-29"/>
        <w:jc w:val="both"/>
        <w:rPr>
          <w:rFonts w:eastAsiaTheme="minorHAnsi" w:cs="Arial"/>
          <w:color w:val="auto"/>
          <w:lang w:eastAsia="en-US"/>
        </w:rPr>
      </w:pPr>
      <w:r w:rsidRPr="00477BE1">
        <w:rPr>
          <w:rFonts w:eastAsiaTheme="minorHAnsi" w:cs="Arial"/>
          <w:color w:val="auto"/>
          <w:lang w:eastAsia="en-US"/>
        </w:rPr>
        <w:t xml:space="preserve">It has been agreed that the </w:t>
      </w:r>
      <w:r w:rsidR="00567DDE" w:rsidRPr="00477BE1">
        <w:rPr>
          <w:rFonts w:eastAsiaTheme="minorHAnsi" w:cs="Arial"/>
          <w:color w:val="auto"/>
          <w:lang w:eastAsia="en-US"/>
        </w:rPr>
        <w:t xml:space="preserve">freehold </w:t>
      </w:r>
      <w:r w:rsidR="004C0C86" w:rsidRPr="00477BE1">
        <w:rPr>
          <w:rFonts w:eastAsiaTheme="minorHAnsi" w:cs="Arial"/>
          <w:color w:val="auto"/>
          <w:lang w:eastAsia="en-US"/>
        </w:rPr>
        <w:t>P</w:t>
      </w:r>
      <w:r w:rsidRPr="00477BE1">
        <w:rPr>
          <w:rFonts w:eastAsiaTheme="minorHAnsi" w:cs="Arial"/>
          <w:color w:val="auto"/>
          <w:lang w:eastAsia="en-US"/>
        </w:rPr>
        <w:t>avilion</w:t>
      </w:r>
      <w:r w:rsidR="004C0C86" w:rsidRPr="00477BE1">
        <w:rPr>
          <w:rFonts w:eastAsiaTheme="minorHAnsi" w:cs="Arial"/>
          <w:color w:val="auto"/>
          <w:lang w:eastAsia="en-US"/>
        </w:rPr>
        <w:t xml:space="preserve"> and Sports pitches</w:t>
      </w:r>
      <w:r w:rsidRPr="00477BE1">
        <w:rPr>
          <w:rFonts w:eastAsiaTheme="minorHAnsi" w:cs="Arial"/>
          <w:color w:val="auto"/>
          <w:lang w:eastAsia="en-US"/>
        </w:rPr>
        <w:t xml:space="preserve"> will be transferred </w:t>
      </w:r>
      <w:r w:rsidR="00567DDE" w:rsidRPr="00477BE1">
        <w:rPr>
          <w:rFonts w:eastAsiaTheme="minorHAnsi" w:cs="Arial"/>
          <w:color w:val="auto"/>
          <w:lang w:eastAsia="en-US"/>
        </w:rPr>
        <w:t xml:space="preserve">from the LLP </w:t>
      </w:r>
      <w:r w:rsidRPr="00477BE1">
        <w:rPr>
          <w:rFonts w:eastAsiaTheme="minorHAnsi" w:cs="Arial"/>
          <w:color w:val="auto"/>
          <w:lang w:eastAsia="en-US"/>
        </w:rPr>
        <w:t xml:space="preserve">to the council at the earliest opportunity. </w:t>
      </w:r>
      <w:r w:rsidR="00567DDE" w:rsidRPr="00477BE1">
        <w:rPr>
          <w:rFonts w:eastAsiaTheme="minorHAnsi" w:cs="Arial"/>
          <w:color w:val="auto"/>
          <w:lang w:eastAsia="en-US"/>
        </w:rPr>
        <w:t xml:space="preserve">This is in accordance with the S106. This will enable the council to enter into a subsequent lease with the users of the pavilion and provide clarity on responsibilities and standards of maintenance for the facilities. </w:t>
      </w:r>
      <w:r w:rsidRPr="00477BE1">
        <w:rPr>
          <w:rFonts w:eastAsiaTheme="minorHAnsi" w:cs="Arial"/>
          <w:color w:val="auto"/>
          <w:lang w:eastAsia="en-US"/>
        </w:rPr>
        <w:t>In the meantime the LLP has entered into a service agreement with the council to carry out the</w:t>
      </w:r>
      <w:r w:rsidR="00567DDE" w:rsidRPr="00477BE1">
        <w:rPr>
          <w:rFonts w:eastAsiaTheme="minorHAnsi" w:cs="Arial"/>
          <w:color w:val="auto"/>
          <w:lang w:eastAsia="en-US"/>
        </w:rPr>
        <w:t xml:space="preserve"> maintenance and </w:t>
      </w:r>
      <w:r w:rsidRPr="00477BE1">
        <w:rPr>
          <w:rFonts w:eastAsiaTheme="minorHAnsi" w:cs="Arial"/>
          <w:color w:val="auto"/>
          <w:lang w:eastAsia="en-US"/>
        </w:rPr>
        <w:t>compliance function</w:t>
      </w:r>
      <w:r w:rsidR="00567DDE" w:rsidRPr="00477BE1">
        <w:rPr>
          <w:rFonts w:eastAsiaTheme="minorHAnsi" w:cs="Arial"/>
          <w:color w:val="auto"/>
          <w:lang w:eastAsia="en-US"/>
        </w:rPr>
        <w:t>s</w:t>
      </w:r>
      <w:r w:rsidRPr="00477BE1">
        <w:rPr>
          <w:rFonts w:eastAsiaTheme="minorHAnsi" w:cs="Arial"/>
          <w:color w:val="auto"/>
          <w:lang w:eastAsia="en-US"/>
        </w:rPr>
        <w:t xml:space="preserve"> for the building.</w:t>
      </w:r>
    </w:p>
    <w:p w14:paraId="1BB6D667" w14:textId="77777777" w:rsidR="00203C5C" w:rsidRDefault="00203C5C" w:rsidP="00F524C3">
      <w:pPr>
        <w:tabs>
          <w:tab w:val="left" w:pos="8647"/>
        </w:tabs>
        <w:spacing w:after="0"/>
        <w:ind w:left="284" w:right="1076"/>
        <w:jc w:val="center"/>
        <w:rPr>
          <w:rFonts w:eastAsiaTheme="minorHAnsi" w:cs="Arial"/>
          <w:color w:val="auto"/>
          <w:lang w:eastAsia="en-US"/>
        </w:rPr>
      </w:pPr>
    </w:p>
    <w:p w14:paraId="504BE098" w14:textId="77777777" w:rsidR="00203C5C" w:rsidRPr="00203C5C" w:rsidRDefault="00203C5C" w:rsidP="00477BE1">
      <w:pPr>
        <w:tabs>
          <w:tab w:val="left" w:pos="8647"/>
        </w:tabs>
        <w:ind w:left="284" w:right="1077"/>
        <w:jc w:val="both"/>
        <w:rPr>
          <w:rFonts w:eastAsiaTheme="minorHAnsi" w:cs="Arial"/>
          <w:b/>
          <w:color w:val="auto"/>
          <w:lang w:eastAsia="en-US"/>
        </w:rPr>
      </w:pPr>
      <w:r w:rsidRPr="00203C5C">
        <w:rPr>
          <w:rFonts w:eastAsiaTheme="minorHAnsi" w:cs="Arial"/>
          <w:b/>
          <w:color w:val="auto"/>
          <w:lang w:eastAsia="en-US"/>
        </w:rPr>
        <w:t xml:space="preserve">The bus link and bus service </w:t>
      </w:r>
    </w:p>
    <w:p w14:paraId="09F40362" w14:textId="24DA4AD1" w:rsidR="009552C0" w:rsidRPr="00477BE1" w:rsidRDefault="009552C0" w:rsidP="00477BE1">
      <w:pPr>
        <w:pStyle w:val="ListParagraph"/>
        <w:numPr>
          <w:ilvl w:val="0"/>
          <w:numId w:val="31"/>
        </w:numPr>
        <w:ind w:right="-29"/>
        <w:jc w:val="both"/>
        <w:rPr>
          <w:rFonts w:eastAsiaTheme="minorHAnsi" w:cs="Arial"/>
          <w:color w:val="auto"/>
          <w:lang w:eastAsia="en-US"/>
        </w:rPr>
      </w:pPr>
      <w:r w:rsidRPr="00477BE1">
        <w:rPr>
          <w:color w:val="000000" w:themeColor="text1"/>
        </w:rPr>
        <w:t xml:space="preserve">The county council have confirmed that a service will commence from the end </w:t>
      </w:r>
      <w:r w:rsidR="0009790E">
        <w:rPr>
          <w:color w:val="000000" w:themeColor="text1"/>
        </w:rPr>
        <w:t xml:space="preserve">of </w:t>
      </w:r>
      <w:r w:rsidRPr="00477BE1">
        <w:rPr>
          <w:color w:val="000000" w:themeColor="text1"/>
        </w:rPr>
        <w:t>March</w:t>
      </w:r>
      <w:r w:rsidR="0009790E">
        <w:rPr>
          <w:color w:val="000000" w:themeColor="text1"/>
        </w:rPr>
        <w:t xml:space="preserve"> 2020</w:t>
      </w:r>
      <w:r w:rsidRPr="00477BE1">
        <w:rPr>
          <w:color w:val="000000" w:themeColor="text1"/>
        </w:rPr>
        <w:t>, operating between the site and the John Radcliffe (to allow onward connection) at a frequency of 2 buses per hour on Mondays to Saturdays between 7am and 7pm.  The service will be free to users.  This is an interim service with the longer term solution</w:t>
      </w:r>
      <w:r w:rsidR="00A10491">
        <w:rPr>
          <w:color w:val="000000" w:themeColor="text1"/>
        </w:rPr>
        <w:t xml:space="preserve"> </w:t>
      </w:r>
      <w:r w:rsidRPr="00477BE1">
        <w:rPr>
          <w:color w:val="000000" w:themeColor="text1"/>
        </w:rPr>
        <w:t>for the site envisaged to start from September this year, once the road connection has been completed.  County have the option of extending the interim service by 3 months if the road connection has not been completed by September.</w:t>
      </w:r>
    </w:p>
    <w:p w14:paraId="3AE94743" w14:textId="4B192C9E" w:rsidR="00203C5C" w:rsidRPr="00A10491" w:rsidRDefault="00203C5C" w:rsidP="00A10491">
      <w:pPr>
        <w:pStyle w:val="ListParagraph"/>
        <w:numPr>
          <w:ilvl w:val="0"/>
          <w:numId w:val="31"/>
        </w:numPr>
        <w:ind w:right="113"/>
        <w:jc w:val="both"/>
        <w:rPr>
          <w:color w:val="000000" w:themeColor="text1"/>
        </w:rPr>
      </w:pPr>
      <w:r w:rsidRPr="00A10491">
        <w:rPr>
          <w:color w:val="000000" w:themeColor="text1"/>
        </w:rPr>
        <w:t>The ANPR cameras will be installed by 31 March 2020 and fully operational by the beginning of May 2020. This means that county will able to clear the bus link barriers away in the week commencing 23 March 2020 to allow for the road surface to be cleaned. This should allow for bus operation to start on 30 March as planned (this should negate the need for an extension to the interim bus service.</w:t>
      </w:r>
    </w:p>
    <w:p w14:paraId="4BD04962" w14:textId="3306EA7D" w:rsidR="00203C5C" w:rsidRPr="00A10491" w:rsidRDefault="00203C5C" w:rsidP="00A10491">
      <w:pPr>
        <w:pStyle w:val="ListParagraph"/>
        <w:numPr>
          <w:ilvl w:val="0"/>
          <w:numId w:val="49"/>
        </w:numPr>
        <w:spacing w:after="0"/>
        <w:ind w:right="-29"/>
        <w:jc w:val="both"/>
        <w:rPr>
          <w:color w:val="000000" w:themeColor="text1"/>
        </w:rPr>
      </w:pPr>
      <w:r w:rsidRPr="00A10491">
        <w:rPr>
          <w:color w:val="000000" w:themeColor="text1"/>
        </w:rPr>
        <w:t xml:space="preserve">County will carry out a Stage 3 Road Safety Audit </w:t>
      </w:r>
      <w:bookmarkStart w:id="0" w:name="_GoBack"/>
      <w:bookmarkEnd w:id="0"/>
      <w:r w:rsidRPr="00A10491">
        <w:rPr>
          <w:color w:val="000000" w:themeColor="text1"/>
        </w:rPr>
        <w:t>and final snagging inspection in the week commencing 30 March 2020, once the bus service is operational.</w:t>
      </w:r>
    </w:p>
    <w:p w14:paraId="109C0DFF" w14:textId="77777777" w:rsidR="00203C5C" w:rsidRPr="00203C5C" w:rsidRDefault="00203C5C" w:rsidP="00203C5C">
      <w:pPr>
        <w:tabs>
          <w:tab w:val="left" w:pos="8647"/>
        </w:tabs>
        <w:spacing w:after="0"/>
        <w:ind w:right="1076"/>
        <w:jc w:val="both"/>
        <w:rPr>
          <w:rFonts w:eastAsiaTheme="minorHAnsi" w:cs="Arial"/>
          <w:color w:val="auto"/>
          <w:lang w:eastAsia="en-US"/>
        </w:rPr>
      </w:pPr>
    </w:p>
    <w:p w14:paraId="7CADD540" w14:textId="77777777" w:rsidR="00203C5C" w:rsidRPr="00A10491" w:rsidRDefault="00203C5C" w:rsidP="00A10491">
      <w:pPr>
        <w:tabs>
          <w:tab w:val="left" w:pos="8647"/>
        </w:tabs>
        <w:ind w:left="360" w:right="1077"/>
        <w:jc w:val="both"/>
        <w:rPr>
          <w:rFonts w:eastAsiaTheme="minorHAnsi" w:cs="Arial"/>
          <w:b/>
          <w:color w:val="auto"/>
          <w:lang w:eastAsia="en-US"/>
        </w:rPr>
      </w:pPr>
      <w:r w:rsidRPr="00A10491">
        <w:rPr>
          <w:rFonts w:eastAsiaTheme="minorHAnsi" w:cs="Arial"/>
          <w:b/>
          <w:color w:val="auto"/>
          <w:lang w:eastAsia="en-US"/>
        </w:rPr>
        <w:t xml:space="preserve">Financial Implications </w:t>
      </w:r>
    </w:p>
    <w:p w14:paraId="33DAEA97" w14:textId="2E7186A8" w:rsidR="00283B69" w:rsidRPr="00A10491" w:rsidRDefault="00477BE1" w:rsidP="00F524C3">
      <w:pPr>
        <w:pStyle w:val="ListParagraph"/>
        <w:numPr>
          <w:ilvl w:val="0"/>
          <w:numId w:val="49"/>
        </w:numPr>
        <w:spacing w:after="0"/>
        <w:ind w:right="-29"/>
        <w:jc w:val="both"/>
        <w:rPr>
          <w:rFonts w:eastAsiaTheme="minorHAnsi" w:cs="Arial"/>
          <w:color w:val="auto"/>
          <w:lang w:eastAsia="en-US"/>
        </w:rPr>
      </w:pPr>
      <w:r w:rsidRPr="00A10491">
        <w:rPr>
          <w:rFonts w:eastAsiaTheme="minorHAnsi" w:cs="Arial"/>
          <w:color w:val="auto"/>
          <w:lang w:eastAsia="en-US"/>
        </w:rPr>
        <w:t>There are no financial implications arising directly from this report.</w:t>
      </w:r>
    </w:p>
    <w:p w14:paraId="76174713" w14:textId="77777777" w:rsidR="0041652A" w:rsidRDefault="0041652A" w:rsidP="0041652A">
      <w:pPr>
        <w:tabs>
          <w:tab w:val="left" w:pos="8647"/>
        </w:tabs>
        <w:spacing w:after="0"/>
        <w:ind w:right="1076"/>
        <w:jc w:val="both"/>
        <w:rPr>
          <w:rFonts w:eastAsiaTheme="minorHAnsi" w:cs="Arial"/>
          <w:color w:val="auto"/>
          <w:lang w:eastAsia="en-US"/>
        </w:rPr>
      </w:pPr>
    </w:p>
    <w:p w14:paraId="6789AFBB" w14:textId="2B4F7DF7" w:rsidR="0041652A" w:rsidRPr="00A10491" w:rsidRDefault="00477BE1" w:rsidP="00A10491">
      <w:pPr>
        <w:tabs>
          <w:tab w:val="left" w:pos="8647"/>
        </w:tabs>
        <w:ind w:left="360" w:right="1077"/>
        <w:jc w:val="both"/>
        <w:rPr>
          <w:rFonts w:eastAsiaTheme="minorHAnsi" w:cs="Arial"/>
          <w:b/>
          <w:color w:val="auto"/>
          <w:lang w:eastAsia="en-US"/>
        </w:rPr>
      </w:pPr>
      <w:r w:rsidRPr="00A10491">
        <w:rPr>
          <w:rFonts w:eastAsiaTheme="minorHAnsi" w:cs="Arial"/>
          <w:b/>
          <w:color w:val="auto"/>
          <w:lang w:eastAsia="en-US"/>
        </w:rPr>
        <w:t>Legal</w:t>
      </w:r>
      <w:r w:rsidR="0041652A" w:rsidRPr="00A10491">
        <w:rPr>
          <w:rFonts w:eastAsiaTheme="minorHAnsi" w:cs="Arial"/>
          <w:b/>
          <w:color w:val="auto"/>
          <w:lang w:eastAsia="en-US"/>
        </w:rPr>
        <w:t xml:space="preserve"> Implications </w:t>
      </w:r>
    </w:p>
    <w:p w14:paraId="28279910" w14:textId="13AB3CBE" w:rsidR="0041652A" w:rsidRDefault="0041652A" w:rsidP="00F524C3">
      <w:pPr>
        <w:pStyle w:val="ListParagraph"/>
        <w:numPr>
          <w:ilvl w:val="0"/>
          <w:numId w:val="49"/>
        </w:numPr>
        <w:spacing w:after="0"/>
        <w:ind w:right="-29"/>
        <w:jc w:val="both"/>
        <w:rPr>
          <w:rFonts w:eastAsiaTheme="minorHAnsi" w:cs="Arial"/>
          <w:color w:val="auto"/>
          <w:lang w:eastAsia="en-US"/>
        </w:rPr>
      </w:pPr>
      <w:r w:rsidRPr="00A10491">
        <w:rPr>
          <w:rFonts w:eastAsiaTheme="minorHAnsi" w:cs="Arial"/>
          <w:color w:val="auto"/>
          <w:lang w:eastAsia="en-US"/>
        </w:rPr>
        <w:t xml:space="preserve">There are no </w:t>
      </w:r>
      <w:r w:rsidR="00477BE1" w:rsidRPr="00A10491">
        <w:rPr>
          <w:rFonts w:eastAsiaTheme="minorHAnsi" w:cs="Arial"/>
          <w:color w:val="auto"/>
          <w:lang w:eastAsia="en-US"/>
        </w:rPr>
        <w:t>legal implications arising directly from this report.</w:t>
      </w:r>
    </w:p>
    <w:p w14:paraId="4D3204DC" w14:textId="77777777" w:rsidR="00F524C3" w:rsidRPr="00F524C3" w:rsidRDefault="00F524C3" w:rsidP="00F524C3">
      <w:pPr>
        <w:spacing w:after="0"/>
        <w:ind w:left="360" w:right="-29"/>
        <w:jc w:val="both"/>
        <w:rPr>
          <w:rFonts w:eastAsiaTheme="minorHAnsi" w:cs="Arial"/>
          <w:color w:val="auto"/>
          <w:lang w:eastAsia="en-US"/>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878"/>
        <w:gridCol w:w="4896"/>
      </w:tblGrid>
      <w:tr w:rsidR="00DF093E" w:rsidRPr="00575235" w14:paraId="74F28E48" w14:textId="77777777" w:rsidTr="00F524C3">
        <w:trPr>
          <w:cantSplit/>
          <w:trHeight w:val="396"/>
        </w:trPr>
        <w:tc>
          <w:tcPr>
            <w:tcW w:w="3878" w:type="dxa"/>
            <w:tcBorders>
              <w:top w:val="single" w:sz="8" w:space="0" w:color="000000"/>
              <w:left w:val="single" w:sz="8" w:space="0" w:color="000000"/>
              <w:bottom w:val="single" w:sz="8" w:space="0" w:color="000000"/>
              <w:right w:val="nil"/>
            </w:tcBorders>
            <w:shd w:val="clear" w:color="auto" w:fill="auto"/>
          </w:tcPr>
          <w:p w14:paraId="27DE7DEC" w14:textId="77777777" w:rsidR="00E87F7A" w:rsidRPr="00575235" w:rsidRDefault="00E87F7A" w:rsidP="00F524C3">
            <w:pPr>
              <w:tabs>
                <w:tab w:val="left" w:pos="8647"/>
              </w:tabs>
              <w:spacing w:after="0"/>
              <w:ind w:right="1076"/>
              <w:rPr>
                <w:rFonts w:cs="Arial"/>
                <w:b/>
              </w:rPr>
            </w:pPr>
            <w:r w:rsidRPr="00575235">
              <w:rPr>
                <w:rFonts w:cs="Arial"/>
                <w:b/>
              </w:rPr>
              <w:t>Report author</w:t>
            </w:r>
          </w:p>
        </w:tc>
        <w:tc>
          <w:tcPr>
            <w:tcW w:w="4896" w:type="dxa"/>
            <w:tcBorders>
              <w:top w:val="single" w:sz="8" w:space="0" w:color="000000"/>
              <w:left w:val="nil"/>
              <w:bottom w:val="single" w:sz="8" w:space="0" w:color="000000"/>
              <w:right w:val="single" w:sz="8" w:space="0" w:color="000000"/>
            </w:tcBorders>
            <w:shd w:val="clear" w:color="auto" w:fill="auto"/>
          </w:tcPr>
          <w:p w14:paraId="1D91944A" w14:textId="77777777" w:rsidR="00E87F7A" w:rsidRPr="00575235" w:rsidRDefault="00922669" w:rsidP="00F524C3">
            <w:pPr>
              <w:tabs>
                <w:tab w:val="left" w:pos="8647"/>
              </w:tabs>
              <w:spacing w:after="0"/>
              <w:ind w:right="1076"/>
              <w:rPr>
                <w:rFonts w:cs="Arial"/>
              </w:rPr>
            </w:pPr>
            <w:r w:rsidRPr="00575235">
              <w:rPr>
                <w:rFonts w:cs="Arial"/>
              </w:rPr>
              <w:t>Jane Winfield</w:t>
            </w:r>
          </w:p>
        </w:tc>
      </w:tr>
      <w:tr w:rsidR="0041652A" w:rsidRPr="00575235" w14:paraId="2BA3AA5E" w14:textId="77777777" w:rsidTr="00F524C3">
        <w:trPr>
          <w:cantSplit/>
          <w:trHeight w:val="716"/>
        </w:trPr>
        <w:tc>
          <w:tcPr>
            <w:tcW w:w="3878" w:type="dxa"/>
            <w:tcBorders>
              <w:top w:val="single" w:sz="8" w:space="0" w:color="000000"/>
              <w:left w:val="single" w:sz="8" w:space="0" w:color="000000"/>
              <w:bottom w:val="single" w:sz="4" w:space="0" w:color="auto"/>
              <w:right w:val="nil"/>
            </w:tcBorders>
            <w:shd w:val="clear" w:color="auto" w:fill="auto"/>
          </w:tcPr>
          <w:p w14:paraId="5B427226" w14:textId="77777777" w:rsidR="0041652A" w:rsidRDefault="0041652A" w:rsidP="00F524C3">
            <w:pPr>
              <w:spacing w:after="0"/>
              <w:rPr>
                <w:rFonts w:cs="Arial"/>
              </w:rPr>
            </w:pPr>
            <w:r>
              <w:rPr>
                <w:rFonts w:cs="Arial"/>
              </w:rPr>
              <w:t>Job title</w:t>
            </w:r>
          </w:p>
          <w:p w14:paraId="636F09F8" w14:textId="6CEA7E65" w:rsidR="0041652A" w:rsidRPr="00575235" w:rsidRDefault="0041652A" w:rsidP="00F524C3">
            <w:pPr>
              <w:tabs>
                <w:tab w:val="left" w:pos="8647"/>
              </w:tabs>
              <w:spacing w:after="0"/>
              <w:ind w:right="1076"/>
              <w:rPr>
                <w:rFonts w:cs="Arial"/>
                <w:b/>
              </w:rPr>
            </w:pPr>
          </w:p>
        </w:tc>
        <w:tc>
          <w:tcPr>
            <w:tcW w:w="4896" w:type="dxa"/>
            <w:tcBorders>
              <w:top w:val="single" w:sz="8" w:space="0" w:color="000000"/>
              <w:left w:val="nil"/>
              <w:bottom w:val="single" w:sz="4" w:space="0" w:color="auto"/>
              <w:right w:val="single" w:sz="8" w:space="0" w:color="000000"/>
            </w:tcBorders>
            <w:shd w:val="clear" w:color="auto" w:fill="auto"/>
          </w:tcPr>
          <w:p w14:paraId="35DE4902" w14:textId="448445DC" w:rsidR="0041652A" w:rsidRPr="00575235" w:rsidRDefault="0041652A" w:rsidP="00F524C3">
            <w:pPr>
              <w:spacing w:after="0"/>
              <w:rPr>
                <w:rFonts w:cs="Arial"/>
              </w:rPr>
            </w:pPr>
            <w:r>
              <w:rPr>
                <w:rFonts w:cs="Arial"/>
              </w:rPr>
              <w:t>Regeneration and Major Projects Service Manager</w:t>
            </w:r>
          </w:p>
        </w:tc>
      </w:tr>
      <w:tr w:rsidR="00F524C3" w:rsidRPr="00575235" w14:paraId="1D259451" w14:textId="77777777" w:rsidTr="00F524C3">
        <w:trPr>
          <w:cantSplit/>
          <w:trHeight w:val="440"/>
        </w:trPr>
        <w:tc>
          <w:tcPr>
            <w:tcW w:w="3878" w:type="dxa"/>
            <w:tcBorders>
              <w:top w:val="single" w:sz="4" w:space="0" w:color="auto"/>
              <w:left w:val="single" w:sz="8" w:space="0" w:color="000000"/>
              <w:bottom w:val="single" w:sz="4" w:space="0" w:color="auto"/>
              <w:right w:val="nil"/>
            </w:tcBorders>
            <w:shd w:val="clear" w:color="auto" w:fill="auto"/>
          </w:tcPr>
          <w:p w14:paraId="04ECC3E3" w14:textId="77777777" w:rsidR="00F524C3" w:rsidRDefault="00F524C3" w:rsidP="00F524C3">
            <w:pPr>
              <w:spacing w:after="0"/>
              <w:rPr>
                <w:rFonts w:cs="Arial"/>
              </w:rPr>
            </w:pPr>
            <w:r>
              <w:rPr>
                <w:rFonts w:cs="Arial"/>
              </w:rPr>
              <w:t>Service area or department</w:t>
            </w:r>
          </w:p>
          <w:p w14:paraId="6515A7AA" w14:textId="1AE5ED2E" w:rsidR="00F524C3" w:rsidRDefault="00F524C3" w:rsidP="00F524C3">
            <w:pPr>
              <w:tabs>
                <w:tab w:val="left" w:pos="8647"/>
              </w:tabs>
              <w:spacing w:after="0"/>
              <w:ind w:right="1076"/>
              <w:rPr>
                <w:rFonts w:cs="Arial"/>
              </w:rPr>
            </w:pPr>
          </w:p>
        </w:tc>
        <w:tc>
          <w:tcPr>
            <w:tcW w:w="4896" w:type="dxa"/>
            <w:tcBorders>
              <w:top w:val="single" w:sz="4" w:space="0" w:color="auto"/>
              <w:left w:val="nil"/>
              <w:bottom w:val="single" w:sz="4" w:space="0" w:color="auto"/>
              <w:right w:val="single" w:sz="8" w:space="0" w:color="000000"/>
            </w:tcBorders>
            <w:shd w:val="clear" w:color="auto" w:fill="auto"/>
          </w:tcPr>
          <w:p w14:paraId="156A8AF1" w14:textId="77777777" w:rsidR="00F524C3" w:rsidRDefault="00F524C3" w:rsidP="00F524C3">
            <w:pPr>
              <w:spacing w:after="0"/>
              <w:rPr>
                <w:rFonts w:cs="Arial"/>
              </w:rPr>
            </w:pPr>
            <w:r>
              <w:rPr>
                <w:rFonts w:cs="Arial"/>
              </w:rPr>
              <w:t>Regeneration and Major Projects</w:t>
            </w:r>
          </w:p>
          <w:p w14:paraId="0ACE086A" w14:textId="3D3BCEB2" w:rsidR="00F524C3" w:rsidRDefault="00F524C3" w:rsidP="00F524C3">
            <w:pPr>
              <w:tabs>
                <w:tab w:val="left" w:pos="8647"/>
              </w:tabs>
              <w:spacing w:after="0"/>
              <w:ind w:right="1076"/>
              <w:rPr>
                <w:rFonts w:cs="Arial"/>
              </w:rPr>
            </w:pPr>
          </w:p>
        </w:tc>
      </w:tr>
      <w:tr w:rsidR="00F524C3" w:rsidRPr="00575235" w14:paraId="06EF6D0E" w14:textId="77777777" w:rsidTr="00F524C3">
        <w:trPr>
          <w:cantSplit/>
          <w:trHeight w:val="480"/>
        </w:trPr>
        <w:tc>
          <w:tcPr>
            <w:tcW w:w="3878" w:type="dxa"/>
            <w:tcBorders>
              <w:top w:val="single" w:sz="4" w:space="0" w:color="auto"/>
              <w:left w:val="single" w:sz="8" w:space="0" w:color="000000"/>
              <w:bottom w:val="single" w:sz="8" w:space="0" w:color="000000"/>
              <w:right w:val="nil"/>
            </w:tcBorders>
            <w:shd w:val="clear" w:color="auto" w:fill="auto"/>
          </w:tcPr>
          <w:p w14:paraId="268AC464" w14:textId="4278446D" w:rsidR="00F524C3" w:rsidRDefault="00F524C3" w:rsidP="00F524C3">
            <w:pPr>
              <w:tabs>
                <w:tab w:val="left" w:pos="8647"/>
              </w:tabs>
              <w:spacing w:after="0"/>
              <w:ind w:right="1076"/>
              <w:rPr>
                <w:rFonts w:cs="Arial"/>
              </w:rPr>
            </w:pPr>
            <w:r w:rsidRPr="00575235">
              <w:rPr>
                <w:rFonts w:cs="Arial"/>
              </w:rPr>
              <w:lastRenderedPageBreak/>
              <w:t xml:space="preserve">Telephone </w:t>
            </w:r>
          </w:p>
        </w:tc>
        <w:tc>
          <w:tcPr>
            <w:tcW w:w="4896" w:type="dxa"/>
            <w:tcBorders>
              <w:top w:val="single" w:sz="4" w:space="0" w:color="auto"/>
              <w:left w:val="nil"/>
              <w:bottom w:val="single" w:sz="8" w:space="0" w:color="000000"/>
              <w:right w:val="single" w:sz="8" w:space="0" w:color="000000"/>
            </w:tcBorders>
            <w:shd w:val="clear" w:color="auto" w:fill="auto"/>
          </w:tcPr>
          <w:p w14:paraId="349D05AC" w14:textId="64B635D3" w:rsidR="00F524C3" w:rsidRDefault="00F524C3" w:rsidP="00F524C3">
            <w:pPr>
              <w:tabs>
                <w:tab w:val="left" w:pos="8647"/>
              </w:tabs>
              <w:spacing w:after="0"/>
              <w:ind w:right="1076"/>
              <w:rPr>
                <w:rFonts w:cs="Arial"/>
              </w:rPr>
            </w:pPr>
            <w:r w:rsidRPr="00575235">
              <w:rPr>
                <w:rFonts w:cs="Arial"/>
              </w:rPr>
              <w:t>01865 252551</w:t>
            </w:r>
          </w:p>
        </w:tc>
      </w:tr>
      <w:tr w:rsidR="0041652A" w:rsidRPr="00575235" w14:paraId="2767C6A4" w14:textId="77777777" w:rsidTr="00F524C3">
        <w:trPr>
          <w:cantSplit/>
          <w:trHeight w:val="396"/>
        </w:trPr>
        <w:tc>
          <w:tcPr>
            <w:tcW w:w="3878" w:type="dxa"/>
            <w:tcBorders>
              <w:top w:val="single" w:sz="8" w:space="0" w:color="000000"/>
              <w:left w:val="single" w:sz="8" w:space="0" w:color="000000"/>
              <w:bottom w:val="single" w:sz="4" w:space="0" w:color="auto"/>
              <w:right w:val="nil"/>
            </w:tcBorders>
            <w:shd w:val="clear" w:color="auto" w:fill="auto"/>
          </w:tcPr>
          <w:p w14:paraId="32C71E54" w14:textId="4C2330C8" w:rsidR="0041652A" w:rsidRPr="00575235" w:rsidRDefault="0041652A" w:rsidP="00F524C3">
            <w:pPr>
              <w:tabs>
                <w:tab w:val="left" w:pos="8647"/>
              </w:tabs>
              <w:spacing w:after="0"/>
              <w:ind w:right="1076"/>
              <w:rPr>
                <w:rFonts w:cs="Arial"/>
              </w:rPr>
            </w:pPr>
            <w:r w:rsidRPr="00575235">
              <w:rPr>
                <w:rFonts w:cs="Arial"/>
              </w:rPr>
              <w:t xml:space="preserve">e-mail </w:t>
            </w:r>
          </w:p>
        </w:tc>
        <w:tc>
          <w:tcPr>
            <w:tcW w:w="4896" w:type="dxa"/>
            <w:tcBorders>
              <w:top w:val="single" w:sz="8" w:space="0" w:color="000000"/>
              <w:left w:val="nil"/>
              <w:bottom w:val="single" w:sz="4" w:space="0" w:color="auto"/>
              <w:right w:val="single" w:sz="8" w:space="0" w:color="000000"/>
            </w:tcBorders>
            <w:shd w:val="clear" w:color="auto" w:fill="auto"/>
          </w:tcPr>
          <w:p w14:paraId="331AD4F0" w14:textId="2687A269" w:rsidR="0041652A" w:rsidRPr="00575235" w:rsidRDefault="00AE571C" w:rsidP="00F524C3">
            <w:pPr>
              <w:tabs>
                <w:tab w:val="left" w:pos="8647"/>
              </w:tabs>
              <w:spacing w:after="0"/>
              <w:ind w:right="1076"/>
              <w:rPr>
                <w:rFonts w:cs="Arial"/>
              </w:rPr>
            </w:pPr>
            <w:hyperlink r:id="rId8" w:history="1">
              <w:r w:rsidR="0041652A" w:rsidRPr="005873B3">
                <w:rPr>
                  <w:rStyle w:val="Hyperlink"/>
                  <w:rFonts w:cs="Arial"/>
                </w:rPr>
                <w:t>jwinfield@oxford.gov.uk</w:t>
              </w:r>
            </w:hyperlink>
            <w:r w:rsidR="0041652A">
              <w:rPr>
                <w:rStyle w:val="Hyperlink"/>
                <w:rFonts w:cs="Arial"/>
                <w:color w:val="000000"/>
              </w:rPr>
              <w:t xml:space="preserve">  </w:t>
            </w:r>
          </w:p>
        </w:tc>
      </w:tr>
    </w:tbl>
    <w:p w14:paraId="531F6846" w14:textId="77777777" w:rsidR="007B18DF" w:rsidRDefault="007B18DF" w:rsidP="00F524C3">
      <w:pPr>
        <w:tabs>
          <w:tab w:val="left" w:pos="8647"/>
        </w:tabs>
        <w:spacing w:after="0"/>
        <w:ind w:right="1076"/>
        <w:rPr>
          <w:rFonts w:cs="Arial"/>
        </w:rPr>
      </w:pPr>
    </w:p>
    <w:sectPr w:rsidR="007B18DF" w:rsidSect="00477BE1">
      <w:footerReference w:type="even" r:id="rId9"/>
      <w:footerReference w:type="default" r:id="rId10"/>
      <w:headerReference w:type="first" r:id="rId11"/>
      <w:footerReference w:type="first" r:id="rId12"/>
      <w:pgSz w:w="11906" w:h="16838" w:code="9"/>
      <w:pgMar w:top="1418" w:right="1700" w:bottom="1304" w:left="1304" w:header="85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CE5A5" w14:textId="77777777" w:rsidR="00C40B11" w:rsidRDefault="00C40B11" w:rsidP="004A6D2F">
      <w:r>
        <w:separator/>
      </w:r>
    </w:p>
  </w:endnote>
  <w:endnote w:type="continuationSeparator" w:id="0">
    <w:p w14:paraId="046179BC" w14:textId="77777777" w:rsidR="00C40B11" w:rsidRDefault="00C40B1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BFCE4" w14:textId="77777777" w:rsidR="00707C98" w:rsidRDefault="00707C98" w:rsidP="004A6D2F">
    <w:pPr>
      <w:pStyle w:val="Footer"/>
    </w:pPr>
    <w:r>
      <w:t>Do not use a footer or page numbers.</w:t>
    </w:r>
  </w:p>
  <w:p w14:paraId="3C418368" w14:textId="77777777" w:rsidR="00707C98" w:rsidRDefault="00707C98" w:rsidP="004A6D2F">
    <w:pPr>
      <w:pStyle w:val="Footer"/>
    </w:pPr>
  </w:p>
  <w:p w14:paraId="385AF8AF" w14:textId="77777777" w:rsidR="00707C98" w:rsidRDefault="00707C98"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8330D" w14:textId="657F827E" w:rsidR="00702F10" w:rsidRDefault="00702F10">
    <w:pPr>
      <w:pStyle w:val="Footer"/>
      <w:jc w:val="right"/>
    </w:pPr>
  </w:p>
  <w:p w14:paraId="10BB4EFF" w14:textId="77777777" w:rsidR="00702F10" w:rsidRDefault="00702F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F25C0" w14:textId="77777777" w:rsidR="00707C98" w:rsidRDefault="00707C98"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A7E89" w14:textId="77777777" w:rsidR="00C40B11" w:rsidRDefault="00C40B11" w:rsidP="004A6D2F">
      <w:r>
        <w:separator/>
      </w:r>
    </w:p>
  </w:footnote>
  <w:footnote w:type="continuationSeparator" w:id="0">
    <w:p w14:paraId="552D9968" w14:textId="77777777" w:rsidR="00C40B11" w:rsidRDefault="00C40B1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33D9C" w14:textId="47BB1213" w:rsidR="00707C98" w:rsidRDefault="00707C98" w:rsidP="00D5547E">
    <w:pPr>
      <w:pStyle w:val="Header"/>
      <w:jc w:val="right"/>
    </w:pPr>
    <w:r>
      <w:rPr>
        <w:noProof/>
      </w:rPr>
      <w:drawing>
        <wp:inline distT="0" distB="0" distL="0" distR="0" wp14:anchorId="31491052" wp14:editId="5B03E923">
          <wp:extent cx="841375" cy="1116965"/>
          <wp:effectExtent l="0" t="0" r="0" b="6985"/>
          <wp:docPr id="3" name="Picture 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p w14:paraId="360372FA" w14:textId="77777777" w:rsidR="00F524C3" w:rsidRDefault="00F524C3"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DA0"/>
    <w:multiLevelType w:val="hybridMultilevel"/>
    <w:tmpl w:val="CEE228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9E3847"/>
    <w:multiLevelType w:val="hybridMultilevel"/>
    <w:tmpl w:val="0B8A21DA"/>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74243B"/>
    <w:multiLevelType w:val="hybridMultilevel"/>
    <w:tmpl w:val="F1B67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5F5D71"/>
    <w:multiLevelType w:val="hybridMultilevel"/>
    <w:tmpl w:val="789C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5B474D"/>
    <w:multiLevelType w:val="hybridMultilevel"/>
    <w:tmpl w:val="6D061BB8"/>
    <w:lvl w:ilvl="0" w:tplc="2188A624">
      <w:start w:val="1"/>
      <w:numFmt w:val="decimal"/>
      <w:lvlText w:val="%1."/>
      <w:lvlJc w:val="left"/>
      <w:pPr>
        <w:ind w:left="644" w:hanging="360"/>
      </w:pPr>
      <w:rPr>
        <w:rFonts w:hint="default"/>
        <w:b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09C700E"/>
    <w:multiLevelType w:val="hybridMultilevel"/>
    <w:tmpl w:val="5422EF3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6319DD"/>
    <w:multiLevelType w:val="hybridMultilevel"/>
    <w:tmpl w:val="02EC6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9852AD"/>
    <w:multiLevelType w:val="hybridMultilevel"/>
    <w:tmpl w:val="0DF261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F4437DD"/>
    <w:multiLevelType w:val="hybridMultilevel"/>
    <w:tmpl w:val="05E20304"/>
    <w:lvl w:ilvl="0" w:tplc="DACAF2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C03460"/>
    <w:multiLevelType w:val="hybridMultilevel"/>
    <w:tmpl w:val="5498AF04"/>
    <w:lvl w:ilvl="0" w:tplc="E3BC620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4F3F38"/>
    <w:multiLevelType w:val="hybridMultilevel"/>
    <w:tmpl w:val="1F8CA2CE"/>
    <w:lvl w:ilvl="0" w:tplc="2188A624">
      <w:start w:val="1"/>
      <w:numFmt w:val="decimal"/>
      <w:lvlText w:val="%1."/>
      <w:lvlJc w:val="left"/>
      <w:pPr>
        <w:ind w:left="360" w:hanging="360"/>
      </w:pPr>
      <w:rPr>
        <w:rFonts w:hint="default"/>
        <w:b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3" w15:restartNumberingAfterBreak="0">
    <w:nsid w:val="20865AB0"/>
    <w:multiLevelType w:val="hybridMultilevel"/>
    <w:tmpl w:val="D9ECB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0A8089F"/>
    <w:multiLevelType w:val="hybridMultilevel"/>
    <w:tmpl w:val="DC74F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CA026D"/>
    <w:multiLevelType w:val="hybridMultilevel"/>
    <w:tmpl w:val="91A86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B90C56"/>
    <w:multiLevelType w:val="hybridMultilevel"/>
    <w:tmpl w:val="284AE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A885640"/>
    <w:multiLevelType w:val="hybridMultilevel"/>
    <w:tmpl w:val="3CC82AD6"/>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B00649B"/>
    <w:multiLevelType w:val="hybridMultilevel"/>
    <w:tmpl w:val="ABDE1052"/>
    <w:lvl w:ilvl="0" w:tplc="2188A6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0108E2"/>
    <w:multiLevelType w:val="hybridMultilevel"/>
    <w:tmpl w:val="773241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B0B6F84"/>
    <w:multiLevelType w:val="multilevel"/>
    <w:tmpl w:val="0B8EC842"/>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287"/>
        </w:tabs>
        <w:ind w:left="1287" w:hanging="720"/>
      </w:pPr>
      <w:rPr>
        <w:rFonts w:ascii="Arial" w:hAnsi="Arial" w:cs="Arial" w:hint="default"/>
        <w:b w:val="0"/>
        <w:color w:val="auto"/>
        <w:sz w:val="20"/>
        <w:szCs w:val="20"/>
      </w:rPr>
    </w:lvl>
    <w:lvl w:ilvl="2">
      <w:start w:val="1"/>
      <w:numFmt w:val="bullet"/>
      <w:lvlText w:val=""/>
      <w:lvlJc w:val="left"/>
      <w:pPr>
        <w:tabs>
          <w:tab w:val="num" w:pos="2160"/>
        </w:tabs>
        <w:ind w:left="2160" w:hanging="720"/>
      </w:pPr>
      <w:rPr>
        <w:rFonts w:ascii="Symbol" w:hAnsi="Symbol" w:hint="default"/>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2DB35AFD"/>
    <w:multiLevelType w:val="singleLevel"/>
    <w:tmpl w:val="0809000F"/>
    <w:lvl w:ilvl="0">
      <w:start w:val="1"/>
      <w:numFmt w:val="decimal"/>
      <w:lvlText w:val="%1."/>
      <w:lvlJc w:val="left"/>
      <w:pPr>
        <w:ind w:left="360" w:hanging="360"/>
      </w:pPr>
      <w:rPr>
        <w:rFonts w:hint="default"/>
        <w:color w:val="000000"/>
        <w:sz w:val="24"/>
      </w:rPr>
    </w:lvl>
  </w:abstractNum>
  <w:abstractNum w:abstractNumId="23" w15:restartNumberingAfterBreak="0">
    <w:nsid w:val="32633D89"/>
    <w:multiLevelType w:val="hybridMultilevel"/>
    <w:tmpl w:val="C6F43576"/>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7A90201"/>
    <w:multiLevelType w:val="hybridMultilevel"/>
    <w:tmpl w:val="CFC44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245839"/>
    <w:multiLevelType w:val="hybridMultilevel"/>
    <w:tmpl w:val="14CC1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A17398E"/>
    <w:multiLevelType w:val="hybridMultilevel"/>
    <w:tmpl w:val="76BEF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D0933F0"/>
    <w:multiLevelType w:val="hybridMultilevel"/>
    <w:tmpl w:val="1FC2B90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AE7BBE"/>
    <w:multiLevelType w:val="hybridMultilevel"/>
    <w:tmpl w:val="A7027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965382"/>
    <w:multiLevelType w:val="hybridMultilevel"/>
    <w:tmpl w:val="C164D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EB1AFC"/>
    <w:multiLevelType w:val="hybridMultilevel"/>
    <w:tmpl w:val="CD98E5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A4973C6"/>
    <w:multiLevelType w:val="multilevel"/>
    <w:tmpl w:val="81EA69C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43A4559"/>
    <w:multiLevelType w:val="hybridMultilevel"/>
    <w:tmpl w:val="5CEE8E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99F5069"/>
    <w:multiLevelType w:val="hybridMultilevel"/>
    <w:tmpl w:val="D51E8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9F2B3C"/>
    <w:multiLevelType w:val="multilevel"/>
    <w:tmpl w:val="4C5820D8"/>
    <w:lvl w:ilvl="0">
      <w:start w:val="1"/>
      <w:numFmt w:val="decimal"/>
      <w:pStyle w:val="Numberedlist"/>
      <w:lvlText w:val="%1."/>
      <w:lvlJc w:val="left"/>
      <w:pPr>
        <w:ind w:left="-129" w:hanging="360"/>
      </w:pPr>
      <w:rPr>
        <w:rFonts w:ascii="Arial" w:hAnsi="Arial"/>
        <w:color w:val="000000"/>
        <w:sz w:val="24"/>
      </w:rPr>
    </w:lvl>
    <w:lvl w:ilvl="1">
      <w:start w:val="1"/>
      <w:numFmt w:val="lowerLetter"/>
      <w:lvlText w:val="%2."/>
      <w:lvlJc w:val="left"/>
      <w:pPr>
        <w:ind w:left="591" w:hanging="360"/>
      </w:pPr>
    </w:lvl>
    <w:lvl w:ilvl="2">
      <w:start w:val="1"/>
      <w:numFmt w:val="lowerRoman"/>
      <w:lvlText w:val="%3."/>
      <w:lvlJc w:val="right"/>
      <w:pPr>
        <w:ind w:left="1311" w:hanging="180"/>
      </w:pPr>
    </w:lvl>
    <w:lvl w:ilvl="3">
      <w:start w:val="1"/>
      <w:numFmt w:val="decimal"/>
      <w:lvlText w:val="%4."/>
      <w:lvlJc w:val="left"/>
      <w:pPr>
        <w:ind w:left="2031" w:hanging="360"/>
      </w:pPr>
    </w:lvl>
    <w:lvl w:ilvl="4">
      <w:start w:val="1"/>
      <w:numFmt w:val="lowerLetter"/>
      <w:lvlText w:val="%5."/>
      <w:lvlJc w:val="left"/>
      <w:pPr>
        <w:ind w:left="2751" w:hanging="360"/>
      </w:pPr>
    </w:lvl>
    <w:lvl w:ilvl="5">
      <w:start w:val="1"/>
      <w:numFmt w:val="lowerRoman"/>
      <w:lvlText w:val="%6."/>
      <w:lvlJc w:val="right"/>
      <w:pPr>
        <w:ind w:left="3471" w:hanging="180"/>
      </w:pPr>
    </w:lvl>
    <w:lvl w:ilvl="6">
      <w:start w:val="1"/>
      <w:numFmt w:val="decimal"/>
      <w:lvlText w:val="%7."/>
      <w:lvlJc w:val="left"/>
      <w:pPr>
        <w:ind w:left="4191" w:hanging="360"/>
      </w:pPr>
    </w:lvl>
    <w:lvl w:ilvl="7">
      <w:start w:val="1"/>
      <w:numFmt w:val="lowerLetter"/>
      <w:lvlText w:val="%8."/>
      <w:lvlJc w:val="left"/>
      <w:pPr>
        <w:ind w:left="4911" w:hanging="360"/>
      </w:pPr>
    </w:lvl>
    <w:lvl w:ilvl="8">
      <w:start w:val="1"/>
      <w:numFmt w:val="lowerRoman"/>
      <w:lvlText w:val="%9."/>
      <w:lvlJc w:val="right"/>
      <w:pPr>
        <w:ind w:left="5631" w:hanging="180"/>
      </w:pPr>
    </w:lvl>
  </w:abstractNum>
  <w:abstractNum w:abstractNumId="35" w15:restartNumberingAfterBreak="0">
    <w:nsid w:val="73863F50"/>
    <w:multiLevelType w:val="hybridMultilevel"/>
    <w:tmpl w:val="04DA6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DD301B"/>
    <w:multiLevelType w:val="hybridMultilevel"/>
    <w:tmpl w:val="4DC2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E70134"/>
    <w:multiLevelType w:val="hybridMultilevel"/>
    <w:tmpl w:val="61462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6CB13D5"/>
    <w:multiLevelType w:val="hybridMultilevel"/>
    <w:tmpl w:val="18980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8365C6"/>
    <w:multiLevelType w:val="multilevel"/>
    <w:tmpl w:val="E67CE66C"/>
    <w:numStyleLink w:val="StyleNumberedLeft0cmHanging075cm"/>
  </w:abstractNum>
  <w:abstractNum w:abstractNumId="40" w15:restartNumberingAfterBreak="0">
    <w:nsid w:val="79DC3607"/>
    <w:multiLevelType w:val="hybridMultilevel"/>
    <w:tmpl w:val="93C44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B1353DE"/>
    <w:multiLevelType w:val="hybridMultilevel"/>
    <w:tmpl w:val="5A88A6AE"/>
    <w:lvl w:ilvl="0" w:tplc="2188A624">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A52229"/>
    <w:multiLevelType w:val="hybridMultilevel"/>
    <w:tmpl w:val="575E0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FEA01EC"/>
    <w:multiLevelType w:val="hybridMultilevel"/>
    <w:tmpl w:val="E0D288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9"/>
  </w:num>
  <w:num w:numId="3">
    <w:abstractNumId w:val="14"/>
  </w:num>
  <w:num w:numId="4">
    <w:abstractNumId w:val="3"/>
  </w:num>
  <w:num w:numId="5">
    <w:abstractNumId w:val="34"/>
  </w:num>
  <w:num w:numId="6">
    <w:abstractNumId w:val="22"/>
  </w:num>
  <w:num w:numId="7">
    <w:abstractNumId w:val="20"/>
  </w:num>
  <w:num w:numId="8">
    <w:abstractNumId w:val="42"/>
  </w:num>
  <w:num w:numId="9">
    <w:abstractNumId w:val="30"/>
  </w:num>
  <w:num w:numId="10">
    <w:abstractNumId w:val="17"/>
  </w:num>
  <w:num w:numId="11">
    <w:abstractNumId w:val="0"/>
  </w:num>
  <w:num w:numId="12">
    <w:abstractNumId w:val="32"/>
  </w:num>
  <w:num w:numId="13">
    <w:abstractNumId w:val="22"/>
    <w:lvlOverride w:ilvl="0">
      <w:startOverride w:val="1"/>
    </w:lvlOverride>
  </w:num>
  <w:num w:numId="14">
    <w:abstractNumId w:val="26"/>
  </w:num>
  <w:num w:numId="15">
    <w:abstractNumId w:val="43"/>
  </w:num>
  <w:num w:numId="16">
    <w:abstractNumId w:val="13"/>
  </w:num>
  <w:num w:numId="17">
    <w:abstractNumId w:val="36"/>
  </w:num>
  <w:num w:numId="18">
    <w:abstractNumId w:val="35"/>
  </w:num>
  <w:num w:numId="19">
    <w:abstractNumId w:val="8"/>
  </w:num>
  <w:num w:numId="20">
    <w:abstractNumId w:val="4"/>
  </w:num>
  <w:num w:numId="21">
    <w:abstractNumId w:val="33"/>
  </w:num>
  <w:num w:numId="22">
    <w:abstractNumId w:val="25"/>
  </w:num>
  <w:num w:numId="23">
    <w:abstractNumId w:val="5"/>
  </w:num>
  <w:num w:numId="24">
    <w:abstractNumId w:val="40"/>
  </w:num>
  <w:num w:numId="25">
    <w:abstractNumId w:val="38"/>
  </w:num>
  <w:num w:numId="26">
    <w:abstractNumId w:val="16"/>
  </w:num>
  <w:num w:numId="27">
    <w:abstractNumId w:val="29"/>
  </w:num>
  <w:num w:numId="28">
    <w:abstractNumId w:val="9"/>
  </w:num>
  <w:num w:numId="29">
    <w:abstractNumId w:val="37"/>
  </w:num>
  <w:num w:numId="30">
    <w:abstractNumId w:val="15"/>
  </w:num>
  <w:num w:numId="31">
    <w:abstractNumId w:val="19"/>
  </w:num>
  <w:num w:numId="32">
    <w:abstractNumId w:val="6"/>
  </w:num>
  <w:num w:numId="33">
    <w:abstractNumId w:val="23"/>
  </w:num>
  <w:num w:numId="34">
    <w:abstractNumId w:val="1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24"/>
  </w:num>
  <w:num w:numId="4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
  </w:num>
  <w:num w:numId="45">
    <w:abstractNumId w:val="27"/>
  </w:num>
  <w:num w:numId="46">
    <w:abstractNumId w:val="28"/>
  </w:num>
  <w:num w:numId="47">
    <w:abstractNumId w:val="41"/>
  </w:num>
  <w:num w:numId="48">
    <w:abstractNumId w:val="12"/>
  </w:num>
  <w:num w:numId="49">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29"/>
    <w:rsid w:val="00000C94"/>
    <w:rsid w:val="0000393F"/>
    <w:rsid w:val="000113C9"/>
    <w:rsid w:val="000117D4"/>
    <w:rsid w:val="0001586E"/>
    <w:rsid w:val="000268C8"/>
    <w:rsid w:val="000314D7"/>
    <w:rsid w:val="0003185A"/>
    <w:rsid w:val="00032003"/>
    <w:rsid w:val="00045F8B"/>
    <w:rsid w:val="00046D2B"/>
    <w:rsid w:val="00056263"/>
    <w:rsid w:val="00064D8A"/>
    <w:rsid w:val="00064F82"/>
    <w:rsid w:val="00066510"/>
    <w:rsid w:val="000667FD"/>
    <w:rsid w:val="0007094D"/>
    <w:rsid w:val="00072B72"/>
    <w:rsid w:val="00075CCD"/>
    <w:rsid w:val="00077523"/>
    <w:rsid w:val="00084A07"/>
    <w:rsid w:val="00092025"/>
    <w:rsid w:val="000947DC"/>
    <w:rsid w:val="0009790E"/>
    <w:rsid w:val="000B1C69"/>
    <w:rsid w:val="000B2C57"/>
    <w:rsid w:val="000B371A"/>
    <w:rsid w:val="000C089F"/>
    <w:rsid w:val="000C3928"/>
    <w:rsid w:val="000C5E8E"/>
    <w:rsid w:val="000C7318"/>
    <w:rsid w:val="000D4345"/>
    <w:rsid w:val="000E1CFC"/>
    <w:rsid w:val="000E3620"/>
    <w:rsid w:val="000F417B"/>
    <w:rsid w:val="000F4481"/>
    <w:rsid w:val="000F4751"/>
    <w:rsid w:val="00101AE2"/>
    <w:rsid w:val="0010524C"/>
    <w:rsid w:val="0010763E"/>
    <w:rsid w:val="00107E75"/>
    <w:rsid w:val="00111FB1"/>
    <w:rsid w:val="00113418"/>
    <w:rsid w:val="00114C3E"/>
    <w:rsid w:val="00115F26"/>
    <w:rsid w:val="00133E0C"/>
    <w:rsid w:val="001356F1"/>
    <w:rsid w:val="00136994"/>
    <w:rsid w:val="0014128E"/>
    <w:rsid w:val="00146C4F"/>
    <w:rsid w:val="00151888"/>
    <w:rsid w:val="00156BFE"/>
    <w:rsid w:val="001606C2"/>
    <w:rsid w:val="00160901"/>
    <w:rsid w:val="00170A2D"/>
    <w:rsid w:val="00171D89"/>
    <w:rsid w:val="00175E59"/>
    <w:rsid w:val="001761CB"/>
    <w:rsid w:val="001808BC"/>
    <w:rsid w:val="00182B81"/>
    <w:rsid w:val="0018619D"/>
    <w:rsid w:val="00186258"/>
    <w:rsid w:val="00195B34"/>
    <w:rsid w:val="001A011E"/>
    <w:rsid w:val="001A066A"/>
    <w:rsid w:val="001A13E6"/>
    <w:rsid w:val="001A5731"/>
    <w:rsid w:val="001B3EBB"/>
    <w:rsid w:val="001B42C3"/>
    <w:rsid w:val="001C3084"/>
    <w:rsid w:val="001C5D5E"/>
    <w:rsid w:val="001D4D6D"/>
    <w:rsid w:val="001D678D"/>
    <w:rsid w:val="001E03F8"/>
    <w:rsid w:val="001E1678"/>
    <w:rsid w:val="001E266B"/>
    <w:rsid w:val="001E3376"/>
    <w:rsid w:val="001F20DE"/>
    <w:rsid w:val="001F31D2"/>
    <w:rsid w:val="00203C5C"/>
    <w:rsid w:val="002069B3"/>
    <w:rsid w:val="002162B8"/>
    <w:rsid w:val="002171F4"/>
    <w:rsid w:val="002241ED"/>
    <w:rsid w:val="002329CF"/>
    <w:rsid w:val="00232F5B"/>
    <w:rsid w:val="00247C29"/>
    <w:rsid w:val="00260467"/>
    <w:rsid w:val="00262A9D"/>
    <w:rsid w:val="00263EA3"/>
    <w:rsid w:val="00264568"/>
    <w:rsid w:val="002738A2"/>
    <w:rsid w:val="00283B69"/>
    <w:rsid w:val="00284F85"/>
    <w:rsid w:val="00290915"/>
    <w:rsid w:val="002A100D"/>
    <w:rsid w:val="002A22E2"/>
    <w:rsid w:val="002A2D09"/>
    <w:rsid w:val="002A4510"/>
    <w:rsid w:val="002C64F7"/>
    <w:rsid w:val="002D053C"/>
    <w:rsid w:val="002E6689"/>
    <w:rsid w:val="002F41F2"/>
    <w:rsid w:val="00301BF3"/>
    <w:rsid w:val="0030208D"/>
    <w:rsid w:val="003035D9"/>
    <w:rsid w:val="003058CB"/>
    <w:rsid w:val="003165D8"/>
    <w:rsid w:val="00323418"/>
    <w:rsid w:val="003357BF"/>
    <w:rsid w:val="003464E1"/>
    <w:rsid w:val="00361C76"/>
    <w:rsid w:val="0036423D"/>
    <w:rsid w:val="00364FAD"/>
    <w:rsid w:val="0036738F"/>
    <w:rsid w:val="0036759C"/>
    <w:rsid w:val="00367AE5"/>
    <w:rsid w:val="00367D71"/>
    <w:rsid w:val="00370027"/>
    <w:rsid w:val="0037015A"/>
    <w:rsid w:val="00370487"/>
    <w:rsid w:val="00373BD7"/>
    <w:rsid w:val="00375BE2"/>
    <w:rsid w:val="0038150A"/>
    <w:rsid w:val="0039194E"/>
    <w:rsid w:val="0039357B"/>
    <w:rsid w:val="003A26FD"/>
    <w:rsid w:val="003A5955"/>
    <w:rsid w:val="003A76C8"/>
    <w:rsid w:val="003B0980"/>
    <w:rsid w:val="003B6E75"/>
    <w:rsid w:val="003B7DA1"/>
    <w:rsid w:val="003C5012"/>
    <w:rsid w:val="003C5775"/>
    <w:rsid w:val="003D0379"/>
    <w:rsid w:val="003D1756"/>
    <w:rsid w:val="003D2574"/>
    <w:rsid w:val="003D4C59"/>
    <w:rsid w:val="003F4267"/>
    <w:rsid w:val="00404032"/>
    <w:rsid w:val="0040736F"/>
    <w:rsid w:val="00412C1F"/>
    <w:rsid w:val="0041439C"/>
    <w:rsid w:val="0041652A"/>
    <w:rsid w:val="0042030E"/>
    <w:rsid w:val="00420DB0"/>
    <w:rsid w:val="00421CB2"/>
    <w:rsid w:val="004268B9"/>
    <w:rsid w:val="00433B96"/>
    <w:rsid w:val="004365F8"/>
    <w:rsid w:val="004440F1"/>
    <w:rsid w:val="004456DD"/>
    <w:rsid w:val="00446CDF"/>
    <w:rsid w:val="00450474"/>
    <w:rsid w:val="004521B7"/>
    <w:rsid w:val="004548E3"/>
    <w:rsid w:val="00457873"/>
    <w:rsid w:val="00462AB5"/>
    <w:rsid w:val="004653AD"/>
    <w:rsid w:val="00465EAF"/>
    <w:rsid w:val="004711FC"/>
    <w:rsid w:val="004738C5"/>
    <w:rsid w:val="00473F3E"/>
    <w:rsid w:val="00475860"/>
    <w:rsid w:val="00477BE1"/>
    <w:rsid w:val="004804B9"/>
    <w:rsid w:val="00484329"/>
    <w:rsid w:val="00487092"/>
    <w:rsid w:val="00491046"/>
    <w:rsid w:val="004A043B"/>
    <w:rsid w:val="004A27B5"/>
    <w:rsid w:val="004A2AC7"/>
    <w:rsid w:val="004A3E93"/>
    <w:rsid w:val="004A6D2F"/>
    <w:rsid w:val="004B1835"/>
    <w:rsid w:val="004C0C86"/>
    <w:rsid w:val="004C2887"/>
    <w:rsid w:val="004D2626"/>
    <w:rsid w:val="004D6E26"/>
    <w:rsid w:val="004D77D3"/>
    <w:rsid w:val="004E2959"/>
    <w:rsid w:val="004F20EF"/>
    <w:rsid w:val="004F58F7"/>
    <w:rsid w:val="004F7774"/>
    <w:rsid w:val="00502412"/>
    <w:rsid w:val="0050321C"/>
    <w:rsid w:val="00505EA4"/>
    <w:rsid w:val="00507FE0"/>
    <w:rsid w:val="00525F6A"/>
    <w:rsid w:val="005268C5"/>
    <w:rsid w:val="005427A0"/>
    <w:rsid w:val="0054712D"/>
    <w:rsid w:val="00547EF6"/>
    <w:rsid w:val="00550211"/>
    <w:rsid w:val="00552930"/>
    <w:rsid w:val="00554C9B"/>
    <w:rsid w:val="005570B5"/>
    <w:rsid w:val="00560AC5"/>
    <w:rsid w:val="00566E73"/>
    <w:rsid w:val="00567DDE"/>
    <w:rsid w:val="00567E18"/>
    <w:rsid w:val="0057130A"/>
    <w:rsid w:val="00574982"/>
    <w:rsid w:val="00575235"/>
    <w:rsid w:val="00575F5F"/>
    <w:rsid w:val="005807BA"/>
    <w:rsid w:val="00581805"/>
    <w:rsid w:val="00585F76"/>
    <w:rsid w:val="00591686"/>
    <w:rsid w:val="0059368E"/>
    <w:rsid w:val="005A10AD"/>
    <w:rsid w:val="005A1B43"/>
    <w:rsid w:val="005A34E4"/>
    <w:rsid w:val="005A60D1"/>
    <w:rsid w:val="005B17F2"/>
    <w:rsid w:val="005B195B"/>
    <w:rsid w:val="005B7FB0"/>
    <w:rsid w:val="005C35A5"/>
    <w:rsid w:val="005C577C"/>
    <w:rsid w:val="005C7E85"/>
    <w:rsid w:val="005D0621"/>
    <w:rsid w:val="005D1E27"/>
    <w:rsid w:val="005D2A3E"/>
    <w:rsid w:val="005D3EF8"/>
    <w:rsid w:val="005E022E"/>
    <w:rsid w:val="005E38FD"/>
    <w:rsid w:val="005E5215"/>
    <w:rsid w:val="005F3F9E"/>
    <w:rsid w:val="005F7F7E"/>
    <w:rsid w:val="00607D7C"/>
    <w:rsid w:val="00614693"/>
    <w:rsid w:val="00623C2F"/>
    <w:rsid w:val="00627066"/>
    <w:rsid w:val="00633578"/>
    <w:rsid w:val="00636D62"/>
    <w:rsid w:val="00637068"/>
    <w:rsid w:val="00640036"/>
    <w:rsid w:val="00645945"/>
    <w:rsid w:val="00645BA8"/>
    <w:rsid w:val="00650811"/>
    <w:rsid w:val="00656FDA"/>
    <w:rsid w:val="00661D3E"/>
    <w:rsid w:val="006628EA"/>
    <w:rsid w:val="0066332C"/>
    <w:rsid w:val="0068312A"/>
    <w:rsid w:val="00692627"/>
    <w:rsid w:val="00693EC9"/>
    <w:rsid w:val="00694382"/>
    <w:rsid w:val="006951D2"/>
    <w:rsid w:val="0069627F"/>
    <w:rsid w:val="006969E7"/>
    <w:rsid w:val="006A3595"/>
    <w:rsid w:val="006A3643"/>
    <w:rsid w:val="006C2A29"/>
    <w:rsid w:val="006C64CF"/>
    <w:rsid w:val="006C6D5D"/>
    <w:rsid w:val="006D052F"/>
    <w:rsid w:val="006D17B1"/>
    <w:rsid w:val="006D4752"/>
    <w:rsid w:val="006D708A"/>
    <w:rsid w:val="006E14C1"/>
    <w:rsid w:val="006E2ADB"/>
    <w:rsid w:val="006F0292"/>
    <w:rsid w:val="006F27FA"/>
    <w:rsid w:val="006F416B"/>
    <w:rsid w:val="006F519B"/>
    <w:rsid w:val="00702F10"/>
    <w:rsid w:val="0070374C"/>
    <w:rsid w:val="00707C98"/>
    <w:rsid w:val="00713675"/>
    <w:rsid w:val="00715823"/>
    <w:rsid w:val="00724962"/>
    <w:rsid w:val="00730749"/>
    <w:rsid w:val="007337DF"/>
    <w:rsid w:val="0073566C"/>
    <w:rsid w:val="007359CC"/>
    <w:rsid w:val="007367F6"/>
    <w:rsid w:val="00737B93"/>
    <w:rsid w:val="00737C85"/>
    <w:rsid w:val="00740B8D"/>
    <w:rsid w:val="007413BB"/>
    <w:rsid w:val="0074315C"/>
    <w:rsid w:val="00745BF0"/>
    <w:rsid w:val="00747E50"/>
    <w:rsid w:val="00750782"/>
    <w:rsid w:val="007615FE"/>
    <w:rsid w:val="0076335E"/>
    <w:rsid w:val="0076655C"/>
    <w:rsid w:val="00772E55"/>
    <w:rsid w:val="007739F1"/>
    <w:rsid w:val="007742DC"/>
    <w:rsid w:val="00781DAC"/>
    <w:rsid w:val="007859F3"/>
    <w:rsid w:val="00785B28"/>
    <w:rsid w:val="00787226"/>
    <w:rsid w:val="00791437"/>
    <w:rsid w:val="007A2866"/>
    <w:rsid w:val="007A7DDC"/>
    <w:rsid w:val="007B0C2C"/>
    <w:rsid w:val="007B18DF"/>
    <w:rsid w:val="007B278E"/>
    <w:rsid w:val="007C0DE5"/>
    <w:rsid w:val="007C160C"/>
    <w:rsid w:val="007C365E"/>
    <w:rsid w:val="007C5C23"/>
    <w:rsid w:val="007E2A26"/>
    <w:rsid w:val="007E4CEC"/>
    <w:rsid w:val="007F2348"/>
    <w:rsid w:val="00803F07"/>
    <w:rsid w:val="008042E9"/>
    <w:rsid w:val="0080749A"/>
    <w:rsid w:val="0081127D"/>
    <w:rsid w:val="00821FB8"/>
    <w:rsid w:val="00822ACD"/>
    <w:rsid w:val="00840B10"/>
    <w:rsid w:val="0084453C"/>
    <w:rsid w:val="008512F7"/>
    <w:rsid w:val="00855C66"/>
    <w:rsid w:val="00864603"/>
    <w:rsid w:val="00871EE4"/>
    <w:rsid w:val="00884D1C"/>
    <w:rsid w:val="008942B1"/>
    <w:rsid w:val="00896566"/>
    <w:rsid w:val="008B293F"/>
    <w:rsid w:val="008B593E"/>
    <w:rsid w:val="008B7371"/>
    <w:rsid w:val="008B7B7A"/>
    <w:rsid w:val="008C247C"/>
    <w:rsid w:val="008D10B0"/>
    <w:rsid w:val="008D11F4"/>
    <w:rsid w:val="008D3DDB"/>
    <w:rsid w:val="008E78E1"/>
    <w:rsid w:val="008F261E"/>
    <w:rsid w:val="008F573F"/>
    <w:rsid w:val="008F70A7"/>
    <w:rsid w:val="008F7CC4"/>
    <w:rsid w:val="009034EC"/>
    <w:rsid w:val="00907C06"/>
    <w:rsid w:val="00922669"/>
    <w:rsid w:val="00927573"/>
    <w:rsid w:val="0093067A"/>
    <w:rsid w:val="009347AE"/>
    <w:rsid w:val="00941C60"/>
    <w:rsid w:val="00941FD1"/>
    <w:rsid w:val="009467AC"/>
    <w:rsid w:val="009552C0"/>
    <w:rsid w:val="00955C90"/>
    <w:rsid w:val="00962C1E"/>
    <w:rsid w:val="00963593"/>
    <w:rsid w:val="00966D42"/>
    <w:rsid w:val="00970FD1"/>
    <w:rsid w:val="00971689"/>
    <w:rsid w:val="00973E90"/>
    <w:rsid w:val="00975B07"/>
    <w:rsid w:val="00980B4A"/>
    <w:rsid w:val="0098546B"/>
    <w:rsid w:val="009A76D0"/>
    <w:rsid w:val="009B3AF0"/>
    <w:rsid w:val="009E3D0A"/>
    <w:rsid w:val="009E51FC"/>
    <w:rsid w:val="009F1D28"/>
    <w:rsid w:val="009F7618"/>
    <w:rsid w:val="00A01D49"/>
    <w:rsid w:val="00A0266C"/>
    <w:rsid w:val="00A04D23"/>
    <w:rsid w:val="00A06766"/>
    <w:rsid w:val="00A0771E"/>
    <w:rsid w:val="00A10491"/>
    <w:rsid w:val="00A10FD4"/>
    <w:rsid w:val="00A12CB8"/>
    <w:rsid w:val="00A130EB"/>
    <w:rsid w:val="00A13765"/>
    <w:rsid w:val="00A21B12"/>
    <w:rsid w:val="00A232EB"/>
    <w:rsid w:val="00A23F80"/>
    <w:rsid w:val="00A25E7D"/>
    <w:rsid w:val="00A3024F"/>
    <w:rsid w:val="00A37A61"/>
    <w:rsid w:val="00A4234D"/>
    <w:rsid w:val="00A423BF"/>
    <w:rsid w:val="00A464C4"/>
    <w:rsid w:val="00A46E98"/>
    <w:rsid w:val="00A6352B"/>
    <w:rsid w:val="00A6491A"/>
    <w:rsid w:val="00A701B5"/>
    <w:rsid w:val="00A714BB"/>
    <w:rsid w:val="00A7466F"/>
    <w:rsid w:val="00A77147"/>
    <w:rsid w:val="00A810FC"/>
    <w:rsid w:val="00A84706"/>
    <w:rsid w:val="00A84925"/>
    <w:rsid w:val="00A9198A"/>
    <w:rsid w:val="00A92D8F"/>
    <w:rsid w:val="00A955E7"/>
    <w:rsid w:val="00AB2988"/>
    <w:rsid w:val="00AB4DB4"/>
    <w:rsid w:val="00AB5546"/>
    <w:rsid w:val="00AB5D12"/>
    <w:rsid w:val="00AB7999"/>
    <w:rsid w:val="00AC3EAA"/>
    <w:rsid w:val="00AD182A"/>
    <w:rsid w:val="00AD3292"/>
    <w:rsid w:val="00AD651C"/>
    <w:rsid w:val="00AD78FD"/>
    <w:rsid w:val="00AE571C"/>
    <w:rsid w:val="00AE6397"/>
    <w:rsid w:val="00AE7AF0"/>
    <w:rsid w:val="00AF1F30"/>
    <w:rsid w:val="00AF5B39"/>
    <w:rsid w:val="00AF62B4"/>
    <w:rsid w:val="00B02023"/>
    <w:rsid w:val="00B044C6"/>
    <w:rsid w:val="00B1504F"/>
    <w:rsid w:val="00B31F0C"/>
    <w:rsid w:val="00B3365D"/>
    <w:rsid w:val="00B350A9"/>
    <w:rsid w:val="00B35A1F"/>
    <w:rsid w:val="00B500CA"/>
    <w:rsid w:val="00B53D92"/>
    <w:rsid w:val="00B61BAC"/>
    <w:rsid w:val="00B620EE"/>
    <w:rsid w:val="00B72DE8"/>
    <w:rsid w:val="00B86314"/>
    <w:rsid w:val="00B868E6"/>
    <w:rsid w:val="00BA1C2E"/>
    <w:rsid w:val="00BA453E"/>
    <w:rsid w:val="00BC200B"/>
    <w:rsid w:val="00BC2969"/>
    <w:rsid w:val="00BC4756"/>
    <w:rsid w:val="00BC69A4"/>
    <w:rsid w:val="00BC6E74"/>
    <w:rsid w:val="00BD0A36"/>
    <w:rsid w:val="00BE0680"/>
    <w:rsid w:val="00BE305F"/>
    <w:rsid w:val="00BE36E5"/>
    <w:rsid w:val="00BE62B5"/>
    <w:rsid w:val="00BE7BA3"/>
    <w:rsid w:val="00BF5682"/>
    <w:rsid w:val="00BF7B09"/>
    <w:rsid w:val="00C02439"/>
    <w:rsid w:val="00C054E1"/>
    <w:rsid w:val="00C063D2"/>
    <w:rsid w:val="00C0652D"/>
    <w:rsid w:val="00C1575B"/>
    <w:rsid w:val="00C20A95"/>
    <w:rsid w:val="00C2692F"/>
    <w:rsid w:val="00C3207C"/>
    <w:rsid w:val="00C348AE"/>
    <w:rsid w:val="00C35C8E"/>
    <w:rsid w:val="00C400E1"/>
    <w:rsid w:val="00C40259"/>
    <w:rsid w:val="00C40B11"/>
    <w:rsid w:val="00C41187"/>
    <w:rsid w:val="00C44B54"/>
    <w:rsid w:val="00C53BE7"/>
    <w:rsid w:val="00C63BC2"/>
    <w:rsid w:val="00C63C31"/>
    <w:rsid w:val="00C7349D"/>
    <w:rsid w:val="00C757A0"/>
    <w:rsid w:val="00C760DE"/>
    <w:rsid w:val="00C82630"/>
    <w:rsid w:val="00C82AC0"/>
    <w:rsid w:val="00C85B4E"/>
    <w:rsid w:val="00C907F7"/>
    <w:rsid w:val="00C92729"/>
    <w:rsid w:val="00CA2103"/>
    <w:rsid w:val="00CB6B99"/>
    <w:rsid w:val="00CC68B0"/>
    <w:rsid w:val="00CD6438"/>
    <w:rsid w:val="00CE4C87"/>
    <w:rsid w:val="00CE544A"/>
    <w:rsid w:val="00CF2861"/>
    <w:rsid w:val="00D0204E"/>
    <w:rsid w:val="00D04CB0"/>
    <w:rsid w:val="00D11E1C"/>
    <w:rsid w:val="00D12FA3"/>
    <w:rsid w:val="00D160B0"/>
    <w:rsid w:val="00D17F94"/>
    <w:rsid w:val="00D20A1A"/>
    <w:rsid w:val="00D223FC"/>
    <w:rsid w:val="00D23D3A"/>
    <w:rsid w:val="00D26D1E"/>
    <w:rsid w:val="00D27868"/>
    <w:rsid w:val="00D460CD"/>
    <w:rsid w:val="00D474CF"/>
    <w:rsid w:val="00D5547E"/>
    <w:rsid w:val="00D664D2"/>
    <w:rsid w:val="00D777C2"/>
    <w:rsid w:val="00D843C3"/>
    <w:rsid w:val="00D869A1"/>
    <w:rsid w:val="00D92DD4"/>
    <w:rsid w:val="00D94D96"/>
    <w:rsid w:val="00DA3E3D"/>
    <w:rsid w:val="00DA413F"/>
    <w:rsid w:val="00DA4584"/>
    <w:rsid w:val="00DA614B"/>
    <w:rsid w:val="00DB1B80"/>
    <w:rsid w:val="00DB27EA"/>
    <w:rsid w:val="00DB3586"/>
    <w:rsid w:val="00DB773D"/>
    <w:rsid w:val="00DC2E03"/>
    <w:rsid w:val="00DC3060"/>
    <w:rsid w:val="00DC5214"/>
    <w:rsid w:val="00DC61EC"/>
    <w:rsid w:val="00DC6D17"/>
    <w:rsid w:val="00DD45BC"/>
    <w:rsid w:val="00DE0FB2"/>
    <w:rsid w:val="00DE12F5"/>
    <w:rsid w:val="00DF093E"/>
    <w:rsid w:val="00E01F42"/>
    <w:rsid w:val="00E13656"/>
    <w:rsid w:val="00E17C83"/>
    <w:rsid w:val="00E206D6"/>
    <w:rsid w:val="00E21747"/>
    <w:rsid w:val="00E256BE"/>
    <w:rsid w:val="00E30BB3"/>
    <w:rsid w:val="00E30EF2"/>
    <w:rsid w:val="00E3318B"/>
    <w:rsid w:val="00E3366E"/>
    <w:rsid w:val="00E34794"/>
    <w:rsid w:val="00E52086"/>
    <w:rsid w:val="00E543A6"/>
    <w:rsid w:val="00E60479"/>
    <w:rsid w:val="00E61D73"/>
    <w:rsid w:val="00E66993"/>
    <w:rsid w:val="00E73684"/>
    <w:rsid w:val="00E818D6"/>
    <w:rsid w:val="00E87F7A"/>
    <w:rsid w:val="00E96BD7"/>
    <w:rsid w:val="00EA0DB1"/>
    <w:rsid w:val="00EA0EE9"/>
    <w:rsid w:val="00EA1336"/>
    <w:rsid w:val="00EA29B5"/>
    <w:rsid w:val="00EB7D34"/>
    <w:rsid w:val="00ED52CA"/>
    <w:rsid w:val="00ED5860"/>
    <w:rsid w:val="00EE1528"/>
    <w:rsid w:val="00EE35C9"/>
    <w:rsid w:val="00EE36FD"/>
    <w:rsid w:val="00EF43CD"/>
    <w:rsid w:val="00F05ECA"/>
    <w:rsid w:val="00F0637E"/>
    <w:rsid w:val="00F11964"/>
    <w:rsid w:val="00F12BCD"/>
    <w:rsid w:val="00F13EB5"/>
    <w:rsid w:val="00F229B8"/>
    <w:rsid w:val="00F3566E"/>
    <w:rsid w:val="00F375FB"/>
    <w:rsid w:val="00F41AC1"/>
    <w:rsid w:val="00F4367A"/>
    <w:rsid w:val="00F445B1"/>
    <w:rsid w:val="00F45CD4"/>
    <w:rsid w:val="00F524C3"/>
    <w:rsid w:val="00F537FC"/>
    <w:rsid w:val="00F66DCA"/>
    <w:rsid w:val="00F73D39"/>
    <w:rsid w:val="00F74F53"/>
    <w:rsid w:val="00F7606D"/>
    <w:rsid w:val="00F81670"/>
    <w:rsid w:val="00F82024"/>
    <w:rsid w:val="00F8225B"/>
    <w:rsid w:val="00F937BE"/>
    <w:rsid w:val="00F95BC9"/>
    <w:rsid w:val="00F972F7"/>
    <w:rsid w:val="00FA165B"/>
    <w:rsid w:val="00FA3091"/>
    <w:rsid w:val="00FA624C"/>
    <w:rsid w:val="00FB2B61"/>
    <w:rsid w:val="00FB783B"/>
    <w:rsid w:val="00FB7F38"/>
    <w:rsid w:val="00FC269F"/>
    <w:rsid w:val="00FC29CC"/>
    <w:rsid w:val="00FD0FAC"/>
    <w:rsid w:val="00FD0FE4"/>
    <w:rsid w:val="00FD1DFA"/>
    <w:rsid w:val="00FD2AD3"/>
    <w:rsid w:val="00FD4966"/>
    <w:rsid w:val="00FE0854"/>
    <w:rsid w:val="00FE1DFA"/>
    <w:rsid w:val="00FE2377"/>
    <w:rsid w:val="00FE4EB1"/>
    <w:rsid w:val="00FE57DC"/>
    <w:rsid w:val="00FE7D80"/>
    <w:rsid w:val="00FF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269CA97"/>
  <w15:docId w15:val="{F73C0923-9FC3-4862-B38B-06302523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382"/>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Emphasis">
    <w:name w:val="Emphasis"/>
    <w:basedOn w:val="DefaultParagraphFont"/>
    <w:qFormat/>
    <w:rsid w:val="00C92729"/>
    <w:rPr>
      <w:i/>
      <w:iCs/>
    </w:rPr>
  </w:style>
  <w:style w:type="table" w:customStyle="1" w:styleId="TableGrid1">
    <w:name w:val="Table Grid1"/>
    <w:basedOn w:val="TableNormal"/>
    <w:next w:val="TableGrid"/>
    <w:rsid w:val="00FB7F38"/>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B10"/>
    <w:pPr>
      <w:autoSpaceDE w:val="0"/>
      <w:autoSpaceDN w:val="0"/>
      <w:adjustRightInd w:val="0"/>
    </w:pPr>
    <w:rPr>
      <w:rFonts w:cs="Arial"/>
      <w:color w:val="000000"/>
      <w:sz w:val="24"/>
      <w:szCs w:val="24"/>
    </w:rPr>
  </w:style>
  <w:style w:type="character" w:customStyle="1" w:styleId="FooterChar">
    <w:name w:val="Footer Char"/>
    <w:aliases w:val="zzFooter Char"/>
    <w:basedOn w:val="DefaultParagraphFont"/>
    <w:link w:val="Footer"/>
    <w:uiPriority w:val="99"/>
    <w:rsid w:val="00702F10"/>
    <w:rPr>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422414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46672965">
      <w:bodyDiv w:val="1"/>
      <w:marLeft w:val="0"/>
      <w:marRight w:val="0"/>
      <w:marTop w:val="0"/>
      <w:marBottom w:val="0"/>
      <w:divBdr>
        <w:top w:val="none" w:sz="0" w:space="0" w:color="auto"/>
        <w:left w:val="none" w:sz="0" w:space="0" w:color="auto"/>
        <w:bottom w:val="none" w:sz="0" w:space="0" w:color="auto"/>
        <w:right w:val="none" w:sz="0" w:space="0" w:color="auto"/>
      </w:divBdr>
    </w:div>
    <w:div w:id="862859962">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5887739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02107025">
      <w:bodyDiv w:val="1"/>
      <w:marLeft w:val="0"/>
      <w:marRight w:val="0"/>
      <w:marTop w:val="0"/>
      <w:marBottom w:val="0"/>
      <w:divBdr>
        <w:top w:val="none" w:sz="0" w:space="0" w:color="auto"/>
        <w:left w:val="none" w:sz="0" w:space="0" w:color="auto"/>
        <w:bottom w:val="none" w:sz="0" w:space="0" w:color="auto"/>
        <w:right w:val="none" w:sz="0" w:space="0" w:color="auto"/>
      </w:divBdr>
    </w:div>
    <w:div w:id="209446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infield@oxford.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419B9-1C9C-413B-AD7F-22DE5B4D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B7870EC8</Template>
  <TotalTime>3</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THOMPSON Jennifer</cp:lastModifiedBy>
  <cp:revision>3</cp:revision>
  <cp:lastPrinted>2019-08-28T11:12:00Z</cp:lastPrinted>
  <dcterms:created xsi:type="dcterms:W3CDTF">2020-03-05T09:22:00Z</dcterms:created>
  <dcterms:modified xsi:type="dcterms:W3CDTF">2020-03-09T16:40:00Z</dcterms:modified>
</cp:coreProperties>
</file>